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png" ContentType="image/png"/>
  <Override PartName="/word/media/rId48.png" ContentType="image/png"/>
  <Override PartName="/word/media/rId13.png" ContentType="image/png"/>
  <Override PartName="/word/media/rId70.png" ContentType="image/png"/>
  <Override PartName="/word/media/rId63.png" ContentType="image/png"/>
  <Override PartName="/word/media/rId76.png" ContentType="image/png"/>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Bayesian estimation in multiple comparisons</w:t>
      </w:r>
    </w:p>
    <w:p>
      <w:pPr>
        <w:pStyle w:val="Author"/>
      </w:pPr>
      <w:r>
        <w:t xml:space="preserve">Guilherme D. Garcia</w:t>
      </w:r>
    </w:p>
    <w:p>
      <w:pPr>
        <w:pStyle w:val="Date"/>
      </w:pPr>
      <w:r>
        <w:t xml:space="preserve">November 2, 2026</w:t>
      </w:r>
    </w:p>
    <w:p>
      <w:pPr>
        <w:pStyle w:val="AbstractTitle"/>
      </w:pPr>
      <w:r>
        <w:t xml:space="preserve">Abstract</w:t>
      </w:r>
    </w:p>
    <w:p>
      <w:pPr>
        <w:pStyle w:val="Abstract"/>
      </w:pPr>
      <w:r>
        <w:t xml:space="preserve">Traditional regression models typically estimate parameters for a factor</w:t>
      </w:r>
      <w:r>
        <w:t xml:space="preserve"> </w:t>
      </w:r>
      <w:r>
        <w:rPr>
          <w:i/>
          <w:iCs/>
        </w:rPr>
        <w:t xml:space="preserve">F</w:t>
      </w:r>
      <w:r>
        <w:t xml:space="preserve"> </w:t>
      </w:r>
      <w:r>
        <w:t xml:space="preserve">by designating one level as a reference (intercept) and calculating slopes for other levels of</w:t>
      </w:r>
      <w:r>
        <w:t xml:space="preserve"> </w:t>
      </w:r>
      <w:r>
        <w:rPr>
          <w:i/>
          <w:iCs/>
        </w:rPr>
        <w:t xml:space="preserve">F</w:t>
      </w:r>
      <w:r>
        <w:t xml:space="preserve">. While this approach often aligns with our research question(s), it limits direct comparisons between all pairs of levels within</w:t>
      </w:r>
      <w:r>
        <w:t xml:space="preserve"> </w:t>
      </w:r>
      <w:r>
        <w:rPr>
          <w:i/>
          <w:iCs/>
        </w:rPr>
        <w:t xml:space="preserve">F</w:t>
      </w:r>
      <w:r>
        <w:t xml:space="preserve"> </w:t>
      </w:r>
      <w:r>
        <w:t xml:space="preserve">and requires additional procedures for generating these comparisons. Moreover, Frequentist methods often rely on corrections (e.g., Bonferroni or Tukey), which can reduce statistical power and inflate uncertainty by mechanically widening confidence intervals. This paper demonstrates how Bayesian hierarchical models provide a robust framework for parameter estimation in the context of multiple comparisons. By leveraging entire posterior distributions, these models produce estimates for all pairwise comparisons without requiring</w:t>
      </w:r>
      <w:r>
        <w:t xml:space="preserve"> </w:t>
      </w:r>
      <w:r>
        <w:rPr>
          <w:i/>
          <w:iCs/>
        </w:rPr>
        <w:t xml:space="preserve">post hoc</w:t>
      </w:r>
      <w:r>
        <w:t xml:space="preserve"> </w:t>
      </w:r>
      <w:r>
        <w:t xml:space="preserve">adjustments. The hierarchical structure, combined with the use of priors, naturally incorporates shrinkage, pulling extreme estimates toward the overall mean. This regularization improves the stability and reliability of estimates, particularly in the presence of sparse or noisy data, and leads to more conservative comparisons. Bayesian models also offer a flexible framework for addressing heteroscedasticity by directly modeling variance structures and incorporating them into the posterior distribution. The result is a coherent approach to exploring differences between levels of</w:t>
      </w:r>
      <w:r>
        <w:t xml:space="preserve"> </w:t>
      </w:r>
      <w:r>
        <w:rPr>
          <w:i/>
          <w:iCs/>
        </w:rPr>
        <w:t xml:space="preserve">F</w:t>
      </w:r>
      <w:r>
        <w:t xml:space="preserve">, where parameter estimates reflect the full uncertainty of the data.</w:t>
      </w:r>
    </w:p>
    <w:bookmarkStart w:id="10" w:name="sec-intro"/>
    <w:p>
      <w:pPr>
        <w:pStyle w:val="Heading1"/>
      </w:pPr>
      <w:r>
        <w:t xml:space="preserve">Introduction</w:t>
      </w:r>
    </w:p>
    <w:p>
      <w:pPr>
        <w:pStyle w:val="FirstParagraph"/>
      </w:pPr>
      <w:r>
        <w:t xml:space="preserve">In recent years, studies in second language acquisition have slowly reduced their use of traditional analysis of variance (ANOVAs) accompanied by</w:t>
      </w:r>
      <w:r>
        <w:t xml:space="preserve"> </w:t>
      </w:r>
      <w:r>
        <w:rPr>
          <w:i/>
          <w:iCs/>
        </w:rPr>
        <w:t xml:space="preserve">post-hoc</w:t>
      </w:r>
      <w:r>
        <w:t xml:space="preserve"> </w:t>
      </w:r>
      <w:r>
        <w:t xml:space="preserve">tests, and have instead adopted a wider range of methods, including mixed-effects regression models</w:t>
      </w:r>
      <w:r>
        <w:t xml:space="preserve"> </w:t>
      </w:r>
      <w:r>
        <w:t xml:space="preserve">(e.g., Cunnings, 2012; Plonsky &amp; Oswald, 2017)</w:t>
      </w:r>
      <w:r>
        <w:t xml:space="preserve">. This is certainly good news, as the field has long relied on a narrow range of statistical methods</w:t>
      </w:r>
      <w:r>
        <w:t xml:space="preserve"> </w:t>
      </w:r>
      <w:r>
        <w:t xml:space="preserve">(e.g., Plonsky, 2014)</w:t>
      </w:r>
      <w:r>
        <w:t xml:space="preserve">. This change is especially welcome when we consider the misuse of certain techniques. For example, when run on percentages derived from categorical responses, ANOVAs can lead to spurious results</w:t>
      </w:r>
      <w:r>
        <w:t xml:space="preserve"> </w:t>
      </w:r>
      <w:r>
        <w:t xml:space="preserve">(Jaeger, 2008)</w:t>
      </w:r>
      <w:r>
        <w:t xml:space="preserve">. While ANOVAs are technically a special type of a (linear) regression, their outputs and goals tend to be interpreted slightly differently: ANOVAs are mostly focused on differences between means of levels of a given factor (say, a language group), whereas a typical linear regression is focused on estimating effect sizes for predictor variables, hence the different outputs from both methods. This difference might explain why analyses that employ ANOVAs sometimes carry out multiple comparisons to verify where specific differences may originate in their data. This practice tends to be accompanied by some type of</w:t>
      </w:r>
      <w:r>
        <w:t xml:space="preserve"> </w:t>
      </w:r>
      <m:oMath>
        <m:r>
          <m:t>p</m:t>
        </m:r>
      </m:oMath>
      <w:r>
        <w:t xml:space="preserve">-value adjustment to reduce the rate of Type I error.</w:t>
      </w:r>
    </w:p>
    <w:p>
      <w:pPr>
        <w:pStyle w:val="BodyText"/>
      </w:pPr>
      <w:r>
        <w:t xml:space="preserve">In this paper, I explore a scenario where an analysis is based on a hierarchical model (also known as mixed-effects model), but where multiple comparisons are needed or desired. More specifically, I show how to generate multiple comparisons using Bayesian estimation from a hierarchical model.</w:t>
      </w:r>
      <w:r>
        <w:t xml:space="preserve"> </w:t>
      </w:r>
      <w:r>
        <w:t xml:space="preserve">Our primary objective in this paper is to estimate effect sizes from multiple comparisons, not to reject a null hypothesis</w:t>
      </w:r>
      <w:r>
        <w:t xml:space="preserve"> </w:t>
      </w:r>
      <w:r>
        <w:rPr>
          <w:i/>
          <w:iCs/>
        </w:rPr>
        <w:t xml:space="preserve">per se</w:t>
      </w:r>
      <w:r>
        <w:t xml:space="preserve">. That being said, because these two perspectives of statistical analysis often go together in practice, I will refer to hypothesis testing at times. Finally, since one of the best ways to understand and examine estimates from a Bayesian model is to visualize them, this paper will have a strong emphasis on data visualization.</w:t>
      </w:r>
    </w:p>
    <w:p>
      <w:pPr>
        <w:pStyle w:val="BodyText"/>
      </w:pPr>
      <w:r>
        <w:t xml:space="preserve">Besides the various advantages of Bayesian data analysis in general (</w:t>
      </w:r>
      <w:hyperlink w:anchor="sec-bayes">
        <w:r>
          <w:rPr>
            <w:rStyle w:val="Hyperlink"/>
          </w:rPr>
          <w:t xml:space="preserve">Section 3.1</w:t>
        </w:r>
      </w:hyperlink>
      <w:r>
        <w:t xml:space="preserve">), the context of multiple comparisons is especially instructive and beneficial as no correction is needed once we assume non-flat priors (e.g., centered around zero) and a hierarchical structure that leads to shrinkage, naturally yielding more reliable estimates (</w:t>
      </w:r>
      <w:hyperlink w:anchor="sec-typical">
        <w:r>
          <w:rPr>
            <w:rStyle w:val="Hyperlink"/>
          </w:rPr>
          <w:t xml:space="preserve">Section 2</w:t>
        </w:r>
      </w:hyperlink>
      <w:r>
        <w:t xml:space="preserve">). This paper is accompanied by an OSF repository (</w:t>
      </w:r>
      <w:hyperlink r:id="rId9">
        <w:r>
          <w:rPr>
            <w:rStyle w:val="Hyperlink"/>
          </w:rPr>
          <w:t xml:space="preserve">https://osf.io/37u56/</w:t>
        </w:r>
      </w:hyperlink>
      <w:r>
        <w:t xml:space="preserve">) that contains all the necessary files to reproduce the analysis below. I assume some level of familiarity with the R language</w:t>
      </w:r>
      <w:r>
        <w:t xml:space="preserve"> </w:t>
      </w:r>
      <w:r>
        <w:t xml:space="preserve">(R Core Team, 2025)</w:t>
      </w:r>
      <w:r>
        <w:t xml:space="preserve"> </w:t>
      </w:r>
      <w:r>
        <w:t xml:space="preserve">and with the</w:t>
      </w:r>
      <w:r>
        <w:t xml:space="preserve"> </w:t>
      </w:r>
      <w:r>
        <w:rPr>
          <w:rStyle w:val="VerbatimChar"/>
        </w:rPr>
        <w:t xml:space="preserve">tidyverse</w:t>
      </w:r>
      <w:r>
        <w:t xml:space="preserve"> </w:t>
      </w:r>
      <w:r>
        <w:t xml:space="preserve">package</w:t>
      </w:r>
      <w:r>
        <w:t xml:space="preserve"> </w:t>
      </w:r>
      <w:r>
        <w:t xml:space="preserve">(Wickham et al., 2019)</w:t>
      </w:r>
      <w:r>
        <w:t xml:space="preserve">.</w:t>
      </w:r>
    </w:p>
    <w:bookmarkEnd w:id="10"/>
    <w:bookmarkStart w:id="26" w:name="sec-typical"/>
    <w:p>
      <w:pPr>
        <w:pStyle w:val="Heading1"/>
      </w:pPr>
      <w:r>
        <w:t xml:space="preserve">A typical scenario</w:t>
      </w:r>
    </w:p>
    <w:p>
      <w:pPr>
        <w:pStyle w:val="FirstParagraph"/>
      </w:pPr>
      <w:r>
        <w:t xml:space="preserve">The data used in this paper is hypothetical: its structure is adapted from the</w:t>
      </w:r>
      <w:r>
        <w:t xml:space="preserve"> </w:t>
      </w:r>
      <w:r>
        <w:rPr>
          <w:rStyle w:val="VerbatimChar"/>
        </w:rPr>
        <w:t xml:space="preserve">danish</w:t>
      </w:r>
      <w:r>
        <w:t xml:space="preserve"> </w:t>
      </w:r>
      <w:r>
        <w:t xml:space="preserve">data set presented in</w:t>
      </w:r>
      <w:r>
        <w:t xml:space="preserve"> </w:t>
      </w:r>
      <w:r>
        <w:t xml:space="preserve">Balling &amp; Baayen (2008)</w:t>
      </w:r>
      <w:r>
        <w:t xml:space="preserve">, which can be found in the</w:t>
      </w:r>
      <w:r>
        <w:t xml:space="preserve"> </w:t>
      </w:r>
      <w:r>
        <w:rPr>
          <w:rStyle w:val="VerbatimChar"/>
        </w:rPr>
        <w:t xml:space="preserve">languageR</w:t>
      </w:r>
      <w:r>
        <w:t xml:space="preserve"> </w:t>
      </w:r>
      <w:r>
        <w:t xml:space="preserve">package</w:t>
      </w:r>
      <w:r>
        <w:t xml:space="preserve"> </w:t>
      </w:r>
      <w:r>
        <w:t xml:space="preserve">(Baayen, 2009)</w:t>
      </w:r>
      <w:r>
        <w:t xml:space="preserve">.</w:t>
      </w:r>
      <w:r>
        <w:t xml:space="preserve"> </w:t>
      </w:r>
      <w:r>
        <w:t xml:space="preserve">In their study, the authors designed an auditory lexical decision task with 72 simple words and 232 nonwords. Seven inflectional and nine derivational suffixes were included in the task, each of which was found in 10 words. The response variable,</w:t>
      </w:r>
      <w:r>
        <w:t xml:space="preserve"> </w:t>
      </w:r>
      <w:r>
        <w:rPr>
          <w:rStyle w:val="VerbatimChar"/>
        </w:rPr>
        <w:t xml:space="preserve">resp</w:t>
      </w:r>
      <w:r>
        <w:t xml:space="preserve">, therefore consists of log-transformed reaction times.</w:t>
      </w:r>
      <w:r>
        <w:t xml:space="preserve"> </w:t>
      </w:r>
      <w:r>
        <w:t xml:space="preserve">Gaussian noise has been added to a subset of the data in question such that the observations examined in the present paper do not reflect the original data set. Our data set</w:t>
      </w:r>
      <w:r>
        <w:t xml:space="preserve"> </w:t>
      </w:r>
      <w:r>
        <w:rPr>
          <w:rStyle w:val="VerbatimChar"/>
        </w:rPr>
        <w:t xml:space="preserve">d</w:t>
      </w:r>
      <w:r>
        <w:t xml:space="preserve"> </w:t>
      </w:r>
      <w:r>
        <w:t xml:space="preserve">, shown in</w:t>
      </w:r>
      <w:r>
        <w:t xml:space="preserve"> </w:t>
      </w:r>
      <w:hyperlink w:anchor="tbl-data">
        <w:r>
          <w:rPr>
            <w:rStyle w:val="Hyperlink"/>
          </w:rPr>
          <w:t xml:space="preserve">Table 1</w:t>
        </w:r>
      </w:hyperlink>
      <w:r>
        <w:t xml:space="preserve">, simulates a common scenario in language acquisition studies, where we are interested in a condition with multiple levels of interest (</w:t>
      </w:r>
      <m:oMath>
        <m:r>
          <m:t>n</m:t>
        </m:r>
        <m:r>
          <m:rPr>
            <m:sty m:val="p"/>
          </m:rPr>
          <m:t>=</m:t>
        </m:r>
        <m:r>
          <m:t>5</m:t>
        </m:r>
      </m:oMath>
      <w:r>
        <w:t xml:space="preserve">)—this is the variable</w:t>
      </w:r>
      <w:r>
        <w:t xml:space="preserve"> </w:t>
      </w:r>
      <w:r>
        <w:rPr>
          <w:rStyle w:val="VerbatimChar"/>
        </w:rPr>
        <w:t xml:space="preserve">cond</w:t>
      </w:r>
      <w:r>
        <w:t xml:space="preserve"> </w:t>
      </w:r>
      <w:r>
        <w:t xml:space="preserve">in the data. Our data file has 22 participants and 49 items. Furthermore, the number of observations for one of the conditions (</w:t>
      </w:r>
      <w:r>
        <w:rPr>
          <w:rStyle w:val="VerbatimChar"/>
        </w:rPr>
        <w:t xml:space="preserve">c4</w:t>
      </w:r>
      <w:r>
        <w:t xml:space="preserve">) has been reduced in order to create an imbalance in the data, as can be seen in</w:t>
      </w:r>
      <w:r>
        <w:t xml:space="preserve"> </w:t>
      </w:r>
      <w:hyperlink w:anchor="tbl-data-balance">
        <w:r>
          <w:rPr>
            <w:rStyle w:val="Hyperlink"/>
          </w:rPr>
          <w:t xml:space="preserve">Table 2</w:t>
        </w:r>
      </w:hyperlink>
      <w:r>
        <w:t xml:space="preserve">. This situation emulates a small sample size when we consider the number of items per participant—this is certainly not uncommon in second or third language studies</w:t>
      </w:r>
      <w:r>
        <w:t xml:space="preserve"> </w:t>
      </w:r>
      <w:r>
        <w:t xml:space="preserve">(Cabrelli-Amaro et al., 2012; Garcia, 2023)</w:t>
      </w:r>
      <w:r>
        <w:t xml:space="preserve">.</w:t>
      </w:r>
    </w:p>
    <w:tbl>
      <w:tblPr>
        <w:tblStyle w:val="Table"/>
        <w:tblW w:type="pct" w:w="5000"/>
        <w:tblLayout w:type="fixed"/>
        <w:tblLook w:firstRow="0" w:lastRow="0" w:firstColumn="0" w:lastColumn="0" w:noHBand="0" w:noVBand="0" w:val="0000"/>
      </w:tblPr>
      <w:tblGrid>
        <w:gridCol w:w="7920"/>
      </w:tblGrid>
      <w:tr>
        <w:tc>
          <w:tcPr/>
          <w:bookmarkStart w:id="11" w:name="tbl-data"/>
          <w:p>
            <w:pPr>
              <w:jc w:val="center"/>
            </w:pPr>
            <w:pPr>
              <w:jc w:val="left"/>
              <w:spacing w:before="200"/>
              <w:pStyle w:val="ImageCaption"/>
            </w:pPr>
            <w:r>
              <w:t xml:space="preserve">Table 1: A sample of our data set.</w:t>
            </w:r>
          </w:p>
          <w:p>
            <w:pPr>
              <w:pStyle w:val="SourceCode"/>
              <w:jc w:val="center"/>
            </w:pPr>
            <w:r>
              <w:rPr>
                <w:rStyle w:val="VerbatimChar"/>
              </w:rPr>
              <w:t xml:space="preserve">#&gt; # A tibble: 5 × 4</w:t>
            </w:r>
            <w:r>
              <w:br/>
            </w:r>
            <w:r>
              <w:rPr>
                <w:rStyle w:val="VerbatimChar"/>
              </w:rPr>
              <w:t xml:space="preserve">#&gt;   part    item    cond   resp</w:t>
            </w:r>
            <w:r>
              <w:br/>
            </w:r>
            <w:r>
              <w:rPr>
                <w:rStyle w:val="VerbatimChar"/>
              </w:rPr>
              <w:t xml:space="preserve">#&gt;   &lt;fct&gt;   &lt;fct&gt;   &lt;fct&gt; &lt;dbl&gt;</w:t>
            </w:r>
            <w:r>
              <w:br/>
            </w:r>
            <w:r>
              <w:rPr>
                <w:rStyle w:val="VerbatimChar"/>
              </w:rPr>
              <w:t xml:space="preserve">#&gt; 1 part_1  item_1  c5     6.91</w:t>
            </w:r>
            <w:r>
              <w:br/>
            </w:r>
            <w:r>
              <w:rPr>
                <w:rStyle w:val="VerbatimChar"/>
              </w:rPr>
              <w:t xml:space="preserve">#&gt; 2 part_6  item_34 c4     6.74</w:t>
            </w:r>
            <w:r>
              <w:br/>
            </w:r>
            <w:r>
              <w:rPr>
                <w:rStyle w:val="VerbatimChar"/>
              </w:rPr>
              <w:t xml:space="preserve">#&gt; 3 part_19 item_11 c1     6.75</w:t>
            </w:r>
            <w:r>
              <w:br/>
            </w:r>
            <w:r>
              <w:rPr>
                <w:rStyle w:val="VerbatimChar"/>
              </w:rPr>
              <w:t xml:space="preserve">#&gt; 4 part_10 item_36 c1     6.74</w:t>
            </w:r>
            <w:r>
              <w:br/>
            </w:r>
            <w:r>
              <w:rPr>
                <w:rStyle w:val="VerbatimChar"/>
              </w:rPr>
              <w:t xml:space="preserve">#&gt; 5 part_11 item_40 c3     6.76</w:t>
            </w:r>
          </w:p>
          <w:bookmarkEnd w:id="11"/>
        </w:tc>
      </w:tr>
    </w:tbl>
    <w:p>
      <w:pPr>
        <w:pStyle w:val="FirstParagraph"/>
      </w:pPr>
      <w:r>
        <w:t xml:space="preserve"> </w:t>
      </w:r>
    </w:p>
    <w:tbl>
      <w:tblPr>
        <w:tblStyle w:val="Table"/>
        <w:tblW w:type="pct" w:w="5000"/>
        <w:tblLayout w:type="fixed"/>
        <w:tblLook w:firstRow="0" w:lastRow="0" w:firstColumn="0" w:lastColumn="0" w:noHBand="0" w:noVBand="0" w:val="0000"/>
      </w:tblPr>
      <w:tblGrid>
        <w:gridCol w:w="7920"/>
      </w:tblGrid>
      <w:tr>
        <w:tc>
          <w:tcPr/>
          <w:bookmarkStart w:id="12" w:name="tbl-data-balance"/>
          <w:p>
            <w:pPr>
              <w:jc w:val="center"/>
            </w:pPr>
            <w:pPr>
              <w:jc w:val="left"/>
              <w:spacing w:before="200"/>
              <w:pStyle w:val="ImageCaption"/>
            </w:pPr>
            <w:r>
              <w:t xml:space="preserve">Table 2: Number of observations per condition (</w:t>
            </w:r>
            <w:r>
              <w:rPr>
                <w:rStyle w:val="VerbatimChar"/>
              </w:rPr>
              <w:t xml:space="preserve">cond</w:t>
            </w:r>
            <w:r>
              <w:t xml:space="preserve">), means, variances, and standard deviations of responses (</w:t>
            </w:r>
            <w:r>
              <w:rPr>
                <w:rStyle w:val="VerbatimChar"/>
              </w:rPr>
              <w:t xml:space="preserve">resp</w:t>
            </w:r>
            <w:r>
              <w:t xml:space="preserve">).</w:t>
            </w:r>
          </w:p>
          <w:p>
            <w:pPr>
              <w:pStyle w:val="SourceCode"/>
              <w:jc w:val="center"/>
            </w:pPr>
            <w:r>
              <w:rPr>
                <w:rStyle w:val="VerbatimChar"/>
              </w:rPr>
              <w:t xml:space="preserve">#&gt; # A tibble: 5 × 5</w:t>
            </w:r>
            <w:r>
              <w:br/>
            </w:r>
            <w:r>
              <w:rPr>
                <w:rStyle w:val="VerbatimChar"/>
              </w:rPr>
              <w:t xml:space="preserve">#&gt;   cond      n  Mean    Var    SD</w:t>
            </w:r>
            <w:r>
              <w:br/>
            </w:r>
            <w:r>
              <w:rPr>
                <w:rStyle w:val="VerbatimChar"/>
              </w:rPr>
              <w:t xml:space="preserve">#&gt;   &lt;fct&gt; &lt;int&gt; &lt;dbl&gt;  &lt;dbl&gt; &lt;dbl&gt;</w:t>
            </w:r>
            <w:r>
              <w:br/>
            </w:r>
            <w:r>
              <w:rPr>
                <w:rStyle w:val="VerbatimChar"/>
              </w:rPr>
              <w:t xml:space="preserve">#&gt; 1 c1      209  6.81 0.0402 0.200</w:t>
            </w:r>
            <w:r>
              <w:br/>
            </w:r>
            <w:r>
              <w:rPr>
                <w:rStyle w:val="VerbatimChar"/>
              </w:rPr>
              <w:t xml:space="preserve">#&gt; 2 c2      215  6.76 0.0460 0.214</w:t>
            </w:r>
            <w:r>
              <w:br/>
            </w:r>
            <w:r>
              <w:rPr>
                <w:rStyle w:val="VerbatimChar"/>
              </w:rPr>
              <w:t xml:space="preserve">#&gt; 3 c3      189  6.86 0.0339 0.184</w:t>
            </w:r>
            <w:r>
              <w:br/>
            </w:r>
            <w:r>
              <w:rPr>
                <w:rStyle w:val="VerbatimChar"/>
              </w:rPr>
              <w:t xml:space="preserve">#&gt; 4 c4       50  6.85 0.0357 0.189</w:t>
            </w:r>
            <w:r>
              <w:br/>
            </w:r>
            <w:r>
              <w:rPr>
                <w:rStyle w:val="VerbatimChar"/>
              </w:rPr>
              <w:t xml:space="preserve">#&gt; 5 c5      213  6.75 0.0253 0.159</w:t>
            </w:r>
          </w:p>
          <w:bookmarkEnd w:id="12"/>
        </w:tc>
      </w:tr>
    </w:tbl>
    <w:p>
      <w:pPr>
        <w:pStyle w:val="FirstParagraph"/>
      </w:pPr>
      <w:r>
        <w:t xml:space="preserve">Our data set has four (self-explanatory) variables:</w:t>
      </w:r>
      <w:r>
        <w:t xml:space="preserve"> </w:t>
      </w:r>
      <w:r>
        <w:rPr>
          <w:rStyle w:val="VerbatimChar"/>
        </w:rPr>
        <w:t xml:space="preserve">part</w:t>
      </w:r>
      <w:r>
        <w:t xml:space="preserve">,</w:t>
      </w:r>
      <w:r>
        <w:t xml:space="preserve"> </w:t>
      </w:r>
      <w:r>
        <w:rPr>
          <w:rStyle w:val="VerbatimChar"/>
        </w:rPr>
        <w:t xml:space="preserve">item</w:t>
      </w:r>
      <w:r>
        <w:t xml:space="preserve">,</w:t>
      </w:r>
      <w:r>
        <w:t xml:space="preserve"> </w:t>
      </w:r>
      <w:r>
        <w:rPr>
          <w:rStyle w:val="VerbatimChar"/>
        </w:rPr>
        <w:t xml:space="preserve">cond</w:t>
      </w:r>
      <w:r>
        <w:t xml:space="preserve"> </w:t>
      </w:r>
      <w:r>
        <w:t xml:space="preserve">and</w:t>
      </w:r>
      <w:r>
        <w:t xml:space="preserve"> </w:t>
      </w:r>
      <w:r>
        <w:rPr>
          <w:rStyle w:val="VerbatimChar"/>
        </w:rPr>
        <w:t xml:space="preserve">resp</w:t>
      </w:r>
      <w:r>
        <w:t xml:space="preserve">. Ultimately, we want to verify if participants’ (</w:t>
      </w:r>
      <w:r>
        <w:rPr>
          <w:rStyle w:val="VerbatimChar"/>
        </w:rPr>
        <w:t xml:space="preserve">part</w:t>
      </w:r>
      <w:r>
        <w:t xml:space="preserve">) responses (</w:t>
      </w:r>
      <w:r>
        <w:rPr>
          <w:rStyle w:val="VerbatimChar"/>
        </w:rPr>
        <w:t xml:space="preserve">resp</w:t>
      </w:r>
      <w:r>
        <w:t xml:space="preserve">) are affected by our five conditions (</w:t>
      </w:r>
      <w:r>
        <w:rPr>
          <w:rStyle w:val="VerbatimChar"/>
        </w:rPr>
        <w:t xml:space="preserve">cond</w:t>
      </w:r>
      <w:r>
        <w:t xml:space="preserve">) taking into account the expected variation found across participants (</w:t>
      </w:r>
      <w:r>
        <w:rPr>
          <w:rStyle w:val="VerbatimChar"/>
        </w:rPr>
        <w:t xml:space="preserve">part</w:t>
      </w:r>
      <w:r>
        <w:t xml:space="preserve">) and items (</w:t>
      </w:r>
      <w:r>
        <w:rPr>
          <w:rStyle w:val="VerbatimChar"/>
        </w:rPr>
        <w:t xml:space="preserve">item</w:t>
      </w:r>
      <w:r>
        <w:t xml:space="preserve">). The five hypothetical conditions in the data set are</w:t>
      </w:r>
      <w:r>
        <w:t xml:space="preserve"> </w:t>
      </w:r>
      <w:r>
        <w:rPr>
          <w:rStyle w:val="VerbatimChar"/>
        </w:rPr>
        <w:t xml:space="preserve">c1</w:t>
      </w:r>
      <w:r>
        <w:t xml:space="preserve"> </w:t>
      </w:r>
      <w:r>
        <w:t xml:space="preserve">to</w:t>
      </w:r>
      <w:r>
        <w:t xml:space="preserve"> </w:t>
      </w:r>
      <w:r>
        <w:rPr>
          <w:rStyle w:val="VerbatimChar"/>
        </w:rPr>
        <w:t xml:space="preserve">c5</w:t>
      </w:r>
      <w:r>
        <w:t xml:space="preserve">. We will start our analysis by visually exploring the patterns in the data, shown in</w:t>
      </w:r>
      <w:r>
        <w:t xml:space="preserve"> </w:t>
      </w:r>
      <w:hyperlink w:anchor="fig-fig1">
        <w:r>
          <w:rPr>
            <w:rStyle w:val="Hyperlink"/>
          </w:rPr>
          <w:t xml:space="preserve">Figure 1</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16" w:name="fig-fig1"/>
          <w:p>
            <w:pPr>
              <w:pStyle w:val="Compact"/>
              <w:jc w:val="center"/>
            </w:pPr>
            <w:r>
              <w:drawing>
                <wp:inline>
                  <wp:extent cx="3566160" cy="2139696"/>
                  <wp:effectExtent b="0" l="0" r="0" t="0"/>
                  <wp:docPr descr="" title="" id="14" name="Picture"/>
                  <a:graphic>
                    <a:graphicData uri="http://schemas.openxmlformats.org/drawingml/2006/picture">
                      <pic:pic>
                        <pic:nvPicPr>
                          <pic:cNvPr descr="multcomp_doc_files/figure-docx/fig-fig1-1.png" id="15" name="Picture"/>
                          <pic:cNvPicPr>
                            <a:picLocks noChangeArrowheads="1" noChangeAspect="1"/>
                          </pic:cNvPicPr>
                        </pic:nvPicPr>
                        <pic:blipFill>
                          <a:blip r:embed="rId13"/>
                          <a:stretch>
                            <a:fillRect/>
                          </a:stretch>
                        </pic:blipFill>
                        <pic:spPr bwMode="auto">
                          <a:xfrm>
                            <a:off x="0" y="0"/>
                            <a:ext cx="3566160" cy="2139696"/>
                          </a:xfrm>
                          <a:prstGeom prst="rect">
                            <a:avLst/>
                          </a:prstGeom>
                          <a:noFill/>
                          <a:ln w="9525">
                            <a:noFill/>
                            <a:headEnd/>
                            <a:tailEnd/>
                          </a:ln>
                        </pic:spPr>
                      </pic:pic>
                    </a:graphicData>
                  </a:graphic>
                </wp:inline>
              </w:drawing>
            </w:r>
          </w:p>
          <w:p>
            <w:pPr>
              <w:jc w:val="center"/>
            </w:pPr>
            <w:pPr>
              <w:jc w:val="left"/>
              <w:spacing w:before="200"/>
              <w:pStyle w:val="ImageCaption"/>
            </w:pPr>
            <w:r>
              <w:t xml:space="preserve">Figure 1: Overall patterns in the data: box plots and associated means (orange dots) and standard errors (not visible).</w:t>
            </w:r>
          </w:p>
          <w:bookmarkEnd w:id="16"/>
        </w:tc>
      </w:tr>
    </w:tbl>
    <w:p>
      <w:pPr>
        <w:pStyle w:val="BodyText"/>
      </w:pPr>
      <w:r>
        <w:t xml:space="preserve">Our response variable is continuous and approximately Gaussian (otherwise we should avoid box plots), so we can rely on our familiar parameters (e.g., our means for each condition) for statistical inference. Typically, we would now run a hierarchical linear regression where</w:t>
      </w:r>
      <w:r>
        <w:t xml:space="preserve"> </w:t>
      </w:r>
      <w:r>
        <w:rPr>
          <w:rStyle w:val="VerbatimChar"/>
        </w:rPr>
        <w:t xml:space="preserve">cond</w:t>
      </w:r>
      <w:r>
        <w:t xml:space="preserve"> </w:t>
      </w:r>
      <w:r>
        <w:t xml:space="preserve">is our predictor variable using the</w:t>
      </w:r>
      <w:r>
        <w:t xml:space="preserve"> </w:t>
      </w:r>
      <w:r>
        <w:rPr>
          <w:rStyle w:val="VerbatimChar"/>
        </w:rPr>
        <w:t xml:space="preserve">lmer()</w:t>
      </w:r>
      <w:r>
        <w:t xml:space="preserve"> </w:t>
      </w:r>
      <w:r>
        <w:t xml:space="preserve">function from the</w:t>
      </w:r>
      <w:r>
        <w:t xml:space="preserve"> </w:t>
      </w:r>
      <w:r>
        <w:rPr>
          <w:rStyle w:val="VerbatimChar"/>
        </w:rPr>
        <w:t xml:space="preserve">lme4</w:t>
      </w:r>
      <w:r>
        <w:t xml:space="preserve"> </w:t>
      </w:r>
      <w:r>
        <w:t xml:space="preserve">package</w:t>
      </w:r>
      <w:r>
        <w:t xml:space="preserve"> </w:t>
      </w:r>
      <w:r>
        <w:t xml:space="preserve">(Bates et al., 2015)</w:t>
      </w:r>
      <w:r>
        <w:t xml:space="preserve">. In</w:t>
      </w:r>
      <w:r>
        <w:t xml:space="preserve"> </w:t>
      </w:r>
      <w:hyperlink w:anchor="lst-code2b">
        <w:r>
          <w:rPr>
            <w:rStyle w:val="Hyperlink"/>
          </w:rPr>
          <w:t xml:space="preserve">Listing 1</w:t>
        </w:r>
      </w:hyperlink>
      <w:r>
        <w:t xml:space="preserve">, such a model is run with by-participant and by-item random intercepts,</w:t>
      </w:r>
      <w:r>
        <w:t xml:space="preserve"> </w:t>
      </w:r>
      <w:r>
        <w:rPr>
          <w:rStyle w:val="VerbatimChar"/>
        </w:rPr>
        <w:t xml:space="preserve">fit1</w:t>
      </w:r>
      <w:r>
        <w:t xml:space="preserve">, the maximally-converging model given the data.</w:t>
      </w:r>
    </w:p>
    <w:tbl>
      <w:tblPr>
        <w:tblStyle w:val="Table"/>
        <w:tblW w:type="pct" w:w="5000"/>
        <w:tblLayout w:type="fixed"/>
        <w:tblLook w:firstRow="0" w:lastRow="0" w:firstColumn="0" w:lastColumn="0" w:noHBand="0" w:noVBand="0" w:val="0000"/>
      </w:tblPr>
      <w:tblGrid>
        <w:gridCol w:w="7920"/>
      </w:tblGrid>
      <w:tr>
        <w:tc>
          <w:tcPr/>
          <w:bookmarkStart w:id="17" w:name="lst-code2b"/>
          <w:p>
            <w:pPr>
              <w:jc w:val="center"/>
            </w:pPr>
            <w:pPr>
              <w:jc w:val="left"/>
              <w:spacing w:before="200"/>
              <w:pStyle w:val="ImageCaption"/>
            </w:pPr>
            <w:r>
              <w:t xml:space="preserve">Listing 1: Hierarchical linear regression.</w:t>
            </w:r>
          </w:p>
          <w:p>
            <w:pPr>
              <w:pStyle w:val="SourceCode"/>
              <w:jc w:val="center"/>
            </w:pPr>
            <w:r>
              <w:rPr>
                <w:rStyle w:val="CommentTok"/>
              </w:rPr>
              <w:t xml:space="preserve"># Packages used to run code below:</w:t>
            </w:r>
            <w:r>
              <w:br/>
            </w:r>
            <w:r>
              <w:rPr>
                <w:rStyle w:val="FunctionTok"/>
              </w:rPr>
              <w:t xml:space="preserve">library</w:t>
            </w:r>
            <w:r>
              <w:rPr>
                <w:rStyle w:val="NormalTok"/>
              </w:rPr>
              <w:t xml:space="preserve">(lme4)</w:t>
            </w:r>
            <w:r>
              <w:br/>
            </w:r>
            <w:r>
              <w:rPr>
                <w:rStyle w:val="FunctionTok"/>
              </w:rPr>
              <w:t xml:space="preserve">library</w:t>
            </w:r>
            <w:r>
              <w:rPr>
                <w:rStyle w:val="NormalTok"/>
              </w:rPr>
              <w:t xml:space="preserve">(lmerTest) </w:t>
            </w:r>
            <w:r>
              <w:rPr>
                <w:rStyle w:val="CommentTok"/>
              </w:rPr>
              <w:t xml:space="preserve"># To display p-values in output</w:t>
            </w:r>
            <w:r>
              <w:br/>
            </w:r>
            <w:r>
              <w:rPr>
                <w:rStyle w:val="FunctionTok"/>
              </w:rPr>
              <w:t xml:space="preserve">library</w:t>
            </w:r>
            <w:r>
              <w:rPr>
                <w:rStyle w:val="NormalTok"/>
              </w:rPr>
              <w:t xml:space="preserve">(emmeans)  </w:t>
            </w:r>
            <w:r>
              <w:rPr>
                <w:rStyle w:val="CommentTok"/>
              </w:rPr>
              <w:t xml:space="preserve"># For multiple comparisons</w:t>
            </w:r>
            <w:r>
              <w:br/>
            </w:r>
            <w:r>
              <w:br/>
            </w:r>
            <w:r>
              <w:rPr>
                <w:rStyle w:val="CommentTok"/>
              </w:rPr>
              <w:t xml:space="preserve"># Hierarchical model using lme4 package:</w:t>
            </w:r>
            <w:r>
              <w:br/>
            </w:r>
            <w:r>
              <w:rPr>
                <w:rStyle w:val="NormalTok"/>
              </w:rPr>
              <w:t xml:space="preserve">fit1 </w:t>
            </w:r>
            <w:r>
              <w:rPr>
                <w:rStyle w:val="OtherTok"/>
              </w:rPr>
              <w:t xml:space="preserve">=</w:t>
            </w:r>
            <w:r>
              <w:rPr>
                <w:rStyle w:val="NormalTok"/>
              </w:rPr>
              <w:t xml:space="preserve"> </w:t>
            </w:r>
            <w:r>
              <w:rPr>
                <w:rStyle w:val="FunctionTok"/>
              </w:rPr>
              <w:t xml:space="preserve">lmer</w:t>
            </w:r>
            <w:r>
              <w:rPr>
                <w:rStyle w:val="NormalTok"/>
              </w:rPr>
              <w:t xml:space="preserve">(resp </w:t>
            </w:r>
            <w:r>
              <w:rPr>
                <w:rStyle w:val="SpecialCharTok"/>
              </w:rPr>
              <w:t xml:space="preserve">~</w:t>
            </w:r>
            <w:r>
              <w:rPr>
                <w:rStyle w:val="NormalTok"/>
              </w:rPr>
              <w:t xml:space="preserve"> cond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part)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item),</w:t>
            </w:r>
            <w:r>
              <w:br/>
            </w:r>
            <w:r>
              <w:rPr>
                <w:rStyle w:val="NormalTok"/>
              </w:rPr>
              <w:t xml:space="preserve">            </w:t>
            </w:r>
            <w:r>
              <w:rPr>
                <w:rStyle w:val="AttributeTok"/>
              </w:rPr>
              <w:t xml:space="preserve">data =</w:t>
            </w:r>
            <w:r>
              <w:rPr>
                <w:rStyle w:val="NormalTok"/>
              </w:rPr>
              <w:t xml:space="preserve"> d)</w:t>
            </w:r>
            <w:r>
              <w:br/>
            </w:r>
            <w:r>
              <w:br/>
            </w:r>
            <w:r>
              <w:rPr>
                <w:rStyle w:val="CommentTok"/>
              </w:rPr>
              <w:t xml:space="preserve"># Printing only our fixed effects:</w:t>
            </w:r>
            <w:r>
              <w:br/>
            </w:r>
            <w:r>
              <w:rPr>
                <w:rStyle w:val="FunctionTok"/>
              </w:rPr>
              <w:t xml:space="preserve">summary</w:t>
            </w:r>
            <w:r>
              <w:rPr>
                <w:rStyle w:val="NormalTok"/>
              </w:rPr>
              <w:t xml:space="preserve">(fit1)</w:t>
            </w:r>
            <w:r>
              <w:rPr>
                <w:rStyle w:val="SpecialCharTok"/>
              </w:rPr>
              <w:t xml:space="preserve">$</w:t>
            </w:r>
            <w:r>
              <w:rPr>
                <w:rStyle w:val="NormalTok"/>
              </w:rPr>
              <w:t xml:space="preserve">coefficients </w:t>
            </w:r>
            <w:r>
              <w:rPr>
                <w:rStyle w:val="SpecialCharTok"/>
              </w:rPr>
              <w:t xml:space="preserve">|&gt;</w:t>
            </w:r>
            <w:r>
              <w:rPr>
                <w:rStyle w:val="NormalTok"/>
              </w:rPr>
              <w:t xml:space="preserve"> </w:t>
            </w:r>
            <w:r>
              <w:rPr>
                <w:rStyle w:val="FunctionTok"/>
              </w:rPr>
              <w:t xml:space="preserve">round</w:t>
            </w:r>
            <w:r>
              <w:rPr>
                <w:rStyle w:val="NormalTok"/>
              </w:rPr>
              <w:t xml:space="preserve">(</w:t>
            </w:r>
            <w:r>
              <w:rPr>
                <w:rStyle w:val="DecValTok"/>
              </w:rPr>
              <w:t xml:space="preserve">2</w:t>
            </w:r>
            <w:r>
              <w:rPr>
                <w:rStyle w:val="NormalTok"/>
              </w:rPr>
              <w:t xml:space="preserve">)</w:t>
            </w:r>
            <w:r>
              <w:br/>
            </w:r>
            <w:r>
              <w:rPr>
                <w:rStyle w:val="CommentTok"/>
              </w:rPr>
              <w:t xml:space="preserve">#&gt;             Estimate Std. Error    df t value Pr(&gt;|t|)</w:t>
            </w:r>
            <w:r>
              <w:br/>
            </w:r>
            <w:r>
              <w:rPr>
                <w:rStyle w:val="CommentTok"/>
              </w:rPr>
              <w:t xml:space="preserve">#&gt; (Intercept)     6.81       0.03 54.56  223.61     0.00</w:t>
            </w:r>
            <w:r>
              <w:br/>
            </w:r>
            <w:r>
              <w:rPr>
                <w:rStyle w:val="CommentTok"/>
              </w:rPr>
              <w:t xml:space="preserve">#&gt; condc2         -0.06       0.04 37.10   -1.57     0.12</w:t>
            </w:r>
            <w:r>
              <w:br/>
            </w:r>
            <w:r>
              <w:rPr>
                <w:rStyle w:val="CommentTok"/>
              </w:rPr>
              <w:t xml:space="preserve">#&gt; condc3          0.05       0.04 37.27    1.35     0.18</w:t>
            </w:r>
            <w:r>
              <w:br/>
            </w:r>
            <w:r>
              <w:rPr>
                <w:rStyle w:val="CommentTok"/>
              </w:rPr>
              <w:t xml:space="preserve">#&gt; condc4          0.02       0.04 65.24    0.45     0.65</w:t>
            </w:r>
            <w:r>
              <w:br/>
            </w:r>
            <w:r>
              <w:rPr>
                <w:rStyle w:val="CommentTok"/>
              </w:rPr>
              <w:t xml:space="preserve">#&gt; condc5         -0.07       0.04 37.16   -1.87     0.07</w:t>
            </w:r>
          </w:p>
          <w:bookmarkEnd w:id="17"/>
        </w:tc>
      </w:tr>
    </w:tbl>
    <w:p>
      <w:pPr>
        <w:pStyle w:val="FirstParagraph"/>
      </w:pPr>
      <w:r>
        <w:t xml:space="preserve">As is typical in regression models with a categorical predictor variable, we can see that</w:t>
      </w:r>
      <w:r>
        <w:t xml:space="preserve"> </w:t>
      </w:r>
      <w:r>
        <w:rPr>
          <w:rStyle w:val="VerbatimChar"/>
        </w:rPr>
        <w:t xml:space="preserve">condc1</w:t>
      </w:r>
      <w:r>
        <w:t xml:space="preserve"> </w:t>
      </w:r>
      <w:r>
        <w:t xml:space="preserve">is automatically used as our reference level (intercept,</w:t>
      </w:r>
      <w:r>
        <w:t xml:space="preserve"> </w:t>
      </w:r>
      <m:oMath>
        <m:sSub>
          <m:e>
            <m:acc>
              <m:accPr>
                <m:chr m:val="̂"/>
              </m:accPr>
              <m:e>
                <m:r>
                  <m:t>β</m:t>
                </m:r>
              </m:e>
            </m:acc>
          </m:e>
          <m:sub>
            <m:r>
              <m:t>0</m:t>
            </m:r>
          </m:sub>
        </m:sSub>
      </m:oMath>
      <w:r>
        <w:t xml:space="preserve">), to which all other levels of</w:t>
      </w:r>
      <w:r>
        <w:t xml:space="preserve"> </w:t>
      </w:r>
      <w:r>
        <w:rPr>
          <w:rStyle w:val="VerbatimChar"/>
        </w:rPr>
        <w:t xml:space="preserve">cond</w:t>
      </w:r>
      <w:r>
        <w:t xml:space="preserve"> </w:t>
      </w:r>
      <w:r>
        <w:t xml:space="preserve">are compared.</w:t>
      </w:r>
    </w:p>
    <w:p>
      <w:pPr>
        <w:pStyle w:val="BodyText"/>
      </w:pPr>
      <w:r>
        <w:t xml:space="preserve">Thanks to packages such as</w:t>
      </w:r>
      <w:r>
        <w:t xml:space="preserve"> </w:t>
      </w:r>
      <w:r>
        <w:rPr>
          <w:rStyle w:val="VerbatimChar"/>
        </w:rPr>
        <w:t xml:space="preserve">lme4</w:t>
      </w:r>
      <w:r>
        <w:t xml:space="preserve"> </w:t>
      </w:r>
      <w:r>
        <w:t xml:space="preserve">and</w:t>
      </w:r>
      <w:r>
        <w:t xml:space="preserve"> </w:t>
      </w:r>
      <w:r>
        <w:rPr>
          <w:rStyle w:val="VerbatimChar"/>
        </w:rPr>
        <w:t xml:space="preserve">emmeans</w:t>
      </w:r>
      <w:r>
        <w:t xml:space="preserve">, a few lines of code are sufficient to run hierarchical regression models and generate multiple comparisons deriving from them—this is shown in</w:t>
      </w:r>
      <w:r>
        <w:t xml:space="preserve"> </w:t>
      </w:r>
      <w:hyperlink w:anchor="lst-code2c">
        <w:r>
          <w:rPr>
            <w:rStyle w:val="Hyperlink"/>
          </w:rPr>
          <w:t xml:space="preserve">Listing 2</w:t>
        </w:r>
      </w:hyperlink>
      <w:r>
        <w:t xml:space="preserve"> </w:t>
      </w:r>
      <w:r>
        <w:t xml:space="preserve">and</w:t>
      </w:r>
      <w:r>
        <w:t xml:space="preserve"> </w:t>
      </w:r>
      <w:hyperlink w:anchor="lst-code2c-bon">
        <w:r>
          <w:rPr>
            <w:rStyle w:val="Hyperlink"/>
          </w:rPr>
          <w:t xml:space="preserve">Listing 3</w:t>
        </w:r>
      </w:hyperlink>
      <w:r>
        <w:t xml:space="preserve">. If we were merely interested in null hypothesis significance testing, using the Tukey-adjusted comparisons in</w:t>
      </w:r>
      <w:r>
        <w:t xml:space="preserve"> </w:t>
      </w:r>
      <w:hyperlink w:anchor="lst-code2c">
        <w:r>
          <w:rPr>
            <w:rStyle w:val="Hyperlink"/>
          </w:rPr>
          <w:t xml:space="preserve">Listing 2</w:t>
        </w:r>
      </w:hyperlink>
      <w:r>
        <w:t xml:space="preserve">, we would identify two comparisons (</w:t>
      </w:r>
      <w:r>
        <w:rPr>
          <w:rStyle w:val="VerbatimChar"/>
        </w:rPr>
        <w:t xml:space="preserve">c2-c3</w:t>
      </w:r>
      <w:r>
        <w:t xml:space="preserve"> </w:t>
      </w:r>
      <w:r>
        <w:t xml:space="preserve">and</w:t>
      </w:r>
      <w:r>
        <w:t xml:space="preserve"> </w:t>
      </w:r>
      <w:r>
        <w:rPr>
          <w:rStyle w:val="VerbatimChar"/>
        </w:rPr>
        <w:t xml:space="preserve">c3-c5</w:t>
      </w:r>
      <w:r>
        <w:t xml:space="preserve">) as statistically significant (</w:t>
      </w:r>
      <m:oMath>
        <m:r>
          <m:t>p</m:t>
        </m:r>
        <m:r>
          <m:rPr>
            <m:sty m:val="p"/>
          </m:rPr>
          <m:t>&lt;</m:t>
        </m:r>
        <m:r>
          <m:t>0.05</m:t>
        </m:r>
      </m:oMath>
      <w:r>
        <w:t xml:space="preserve">).</w:t>
      </w:r>
    </w:p>
    <w:tbl>
      <w:tblPr>
        <w:tblStyle w:val="Table"/>
        <w:tblW w:type="pct" w:w="5000"/>
        <w:tblLayout w:type="fixed"/>
        <w:tblLook w:firstRow="0" w:lastRow="0" w:firstColumn="0" w:lastColumn="0" w:noHBand="0" w:noVBand="0" w:val="0000"/>
      </w:tblPr>
      <w:tblGrid>
        <w:gridCol w:w="7920"/>
      </w:tblGrid>
      <w:tr>
        <w:tc>
          <w:tcPr/>
          <w:bookmarkStart w:id="18" w:name="lst-code2c"/>
          <w:p>
            <w:pPr>
              <w:jc w:val="center"/>
            </w:pPr>
            <w:pPr>
              <w:jc w:val="left"/>
              <w:spacing w:before="200"/>
              <w:pStyle w:val="ImageCaption"/>
            </w:pPr>
            <w:r>
              <w:t xml:space="preserve">Listing 2: Tukey-adjusted pairwise comparisons of group means using the</w:t>
            </w:r>
            <w:r>
              <w:t xml:space="preserve"> </w:t>
            </w:r>
            <w:r>
              <w:rPr>
                <w:rStyle w:val="VerbatimChar"/>
              </w:rPr>
              <w:t xml:space="preserve">emmeans</w:t>
            </w:r>
            <w:r>
              <w:t xml:space="preserve"> </w:t>
            </w:r>
            <w:r>
              <w:t xml:space="preserve">package.</w:t>
            </w:r>
          </w:p>
          <w:p>
            <w:pPr>
              <w:pStyle w:val="SourceCode"/>
              <w:jc w:val="center"/>
            </w:pPr>
            <w:r>
              <w:rPr>
                <w:rStyle w:val="CommentTok"/>
              </w:rPr>
              <w:t xml:space="preserve"># Multiple comparisons with emmeans package:</w:t>
            </w:r>
            <w:r>
              <w:br/>
            </w:r>
            <w:r>
              <w:rPr>
                <w:rStyle w:val="FunctionTok"/>
              </w:rPr>
              <w:t xml:space="preserve">emmeans</w:t>
            </w:r>
            <w:r>
              <w:rPr>
                <w:rStyle w:val="NormalTok"/>
              </w:rPr>
              <w:t xml:space="preserve">(fit1, pairwise </w:t>
            </w:r>
            <w:r>
              <w:rPr>
                <w:rStyle w:val="SpecialCharTok"/>
              </w:rPr>
              <w:t xml:space="preserve">~</w:t>
            </w:r>
            <w:r>
              <w:rPr>
                <w:rStyle w:val="NormalTok"/>
              </w:rPr>
              <w:t xml:space="preserve"> cond, </w:t>
            </w:r>
            <w:r>
              <w:rPr>
                <w:rStyle w:val="AttributeTok"/>
              </w:rPr>
              <w:t xml:space="preserve">adjust =</w:t>
            </w:r>
            <w:r>
              <w:rPr>
                <w:rStyle w:val="NormalTok"/>
              </w:rPr>
              <w:t xml:space="preserve"> </w:t>
            </w:r>
            <w:r>
              <w:rPr>
                <w:rStyle w:val="StringTok"/>
              </w:rPr>
              <w:t xml:space="preserve">"tukey"</w:t>
            </w:r>
            <w:r>
              <w:rPr>
                <w:rStyle w:val="NormalTok"/>
              </w:rPr>
              <w:t xml:space="preserve">)</w:t>
            </w:r>
            <w:r>
              <w:rPr>
                <w:rStyle w:val="SpecialCharTok"/>
              </w:rPr>
              <w:t xml:space="preserve">$</w:t>
            </w:r>
            <w:r>
              <w:rPr>
                <w:rStyle w:val="NormalTok"/>
              </w:rPr>
              <w:t xml:space="preserve">contrasts</w:t>
            </w:r>
            <w:r>
              <w:br/>
            </w:r>
            <w:r>
              <w:rPr>
                <w:rStyle w:val="CommentTok"/>
              </w:rPr>
              <w:t xml:space="preserve">#&gt;  contrast estimate     SE   df t.ratio p.value</w:t>
            </w:r>
            <w:r>
              <w:br/>
            </w:r>
            <w:r>
              <w:rPr>
                <w:rStyle w:val="CommentTok"/>
              </w:rPr>
              <w:t xml:space="preserve">#&gt;  c1 - c2    0.0555 0.0353 38.1   1.571  0.5243</w:t>
            </w:r>
            <w:r>
              <w:br/>
            </w:r>
            <w:r>
              <w:rPr>
                <w:rStyle w:val="CommentTok"/>
              </w:rPr>
              <w:t xml:space="preserve">#&gt;  c1 - c3   -0.0492 0.0363 38.3  -1.354  0.6598</w:t>
            </w:r>
            <w:r>
              <w:br/>
            </w:r>
            <w:r>
              <w:rPr>
                <w:rStyle w:val="CommentTok"/>
              </w:rPr>
              <w:t xml:space="preserve">#&gt;  c1 - c4   -0.0186 0.0413 66.9  -0.449  0.9914</w:t>
            </w:r>
            <w:r>
              <w:br/>
            </w:r>
            <w:r>
              <w:rPr>
                <w:rStyle w:val="CommentTok"/>
              </w:rPr>
              <w:t xml:space="preserve">#&gt;  c1 - c5    0.0660 0.0353 38.2   1.869  0.3508</w:t>
            </w:r>
            <w:r>
              <w:br/>
            </w:r>
            <w:r>
              <w:rPr>
                <w:rStyle w:val="CommentTok"/>
              </w:rPr>
              <w:t xml:space="preserve">#&gt;  c2 - c3   -0.1047 0.0363 38.0  -2.886  0.0473</w:t>
            </w:r>
            <w:r>
              <w:br/>
            </w:r>
            <w:r>
              <w:rPr>
                <w:rStyle w:val="CommentTok"/>
              </w:rPr>
              <w:t xml:space="preserve">#&gt;  c2 - c4   -0.0740 0.0413 66.6  -1.793  0.3861</w:t>
            </w:r>
            <w:r>
              <w:br/>
            </w:r>
            <w:r>
              <w:rPr>
                <w:rStyle w:val="CommentTok"/>
              </w:rPr>
              <w:t xml:space="preserve">#&gt;  c2 - c5    0.0105 0.0353 37.9   0.299  0.9982</w:t>
            </w:r>
            <w:r>
              <w:br/>
            </w:r>
            <w:r>
              <w:rPr>
                <w:rStyle w:val="CommentTok"/>
              </w:rPr>
              <w:t xml:space="preserve">#&gt;  c3 - c4    0.0306 0.0421 65.2   0.726  0.9496</w:t>
            </w:r>
            <w:r>
              <w:br/>
            </w:r>
            <w:r>
              <w:rPr>
                <w:rStyle w:val="CommentTok"/>
              </w:rPr>
              <w:t xml:space="preserve">#&gt;  c3 - c5    0.1152 0.0363 38.1   3.176  0.0233</w:t>
            </w:r>
            <w:r>
              <w:br/>
            </w:r>
            <w:r>
              <w:rPr>
                <w:rStyle w:val="CommentTok"/>
              </w:rPr>
              <w:t xml:space="preserve">#&gt;  c4 - c5    0.0846 0.0413 66.7   2.048  0.2550</w:t>
            </w:r>
            <w:r>
              <w:br/>
            </w:r>
            <w:r>
              <w:rPr>
                <w:rStyle w:val="CommentTok"/>
              </w:rPr>
              <w:t xml:space="preserve">#&gt; </w:t>
            </w:r>
            <w:r>
              <w:br/>
            </w:r>
            <w:r>
              <w:rPr>
                <w:rStyle w:val="CommentTok"/>
              </w:rPr>
              <w:t xml:space="preserve">#&gt; Degrees-of-freedom method: kenward-roger </w:t>
            </w:r>
            <w:r>
              <w:br/>
            </w:r>
            <w:r>
              <w:rPr>
                <w:rStyle w:val="CommentTok"/>
              </w:rPr>
              <w:t xml:space="preserve">#&gt; P value adjustment: tukey method for comparing a family of 5 estimates</w:t>
            </w:r>
          </w:p>
          <w:bookmarkEnd w:id="18"/>
        </w:tc>
      </w:tr>
    </w:tbl>
    <w:tbl>
      <w:tblPr>
        <w:tblStyle w:val="Table"/>
        <w:tblW w:type="pct" w:w="5000"/>
        <w:tblLayout w:type="fixed"/>
        <w:tblLook w:firstRow="0" w:lastRow="0" w:firstColumn="0" w:lastColumn="0" w:noHBand="0" w:noVBand="0" w:val="0000"/>
      </w:tblPr>
      <w:tblGrid>
        <w:gridCol w:w="7920"/>
      </w:tblGrid>
      <w:tr>
        <w:tc>
          <w:tcPr/>
          <w:bookmarkStart w:id="19" w:name="lst-code2c-bon"/>
          <w:p>
            <w:pPr>
              <w:jc w:val="center"/>
            </w:pPr>
            <w:pPr>
              <w:jc w:val="left"/>
              <w:spacing w:before="200"/>
              <w:pStyle w:val="ImageCaption"/>
            </w:pPr>
            <w:r>
              <w:t xml:space="preserve">Listing 3: Bonferroni-adjusted pairwise comparisons of group means using the</w:t>
            </w:r>
            <w:r>
              <w:t xml:space="preserve"> </w:t>
            </w:r>
            <w:r>
              <w:rPr>
                <w:rStyle w:val="VerbatimChar"/>
              </w:rPr>
              <w:t xml:space="preserve">emmeans</w:t>
            </w:r>
            <w:r>
              <w:t xml:space="preserve"> </w:t>
            </w:r>
            <w:r>
              <w:t xml:space="preserve">package.</w:t>
            </w:r>
          </w:p>
          <w:p>
            <w:pPr>
              <w:pStyle w:val="SourceCode"/>
              <w:jc w:val="center"/>
            </w:pPr>
            <w:r>
              <w:rPr>
                <w:rStyle w:val="FunctionTok"/>
              </w:rPr>
              <w:t xml:space="preserve">emmeans</w:t>
            </w:r>
            <w:r>
              <w:rPr>
                <w:rStyle w:val="NormalTok"/>
              </w:rPr>
              <w:t xml:space="preserve">(fit1, pairwise </w:t>
            </w:r>
            <w:r>
              <w:rPr>
                <w:rStyle w:val="SpecialCharTok"/>
              </w:rPr>
              <w:t xml:space="preserve">~</w:t>
            </w:r>
            <w:r>
              <w:rPr>
                <w:rStyle w:val="NormalTok"/>
              </w:rPr>
              <w:t xml:space="preserve"> cond, </w:t>
            </w:r>
            <w:r>
              <w:rPr>
                <w:rStyle w:val="AttributeTok"/>
              </w:rPr>
              <w:t xml:space="preserve">adjust =</w:t>
            </w:r>
            <w:r>
              <w:rPr>
                <w:rStyle w:val="NormalTok"/>
              </w:rPr>
              <w:t xml:space="preserve"> </w:t>
            </w:r>
            <w:r>
              <w:rPr>
                <w:rStyle w:val="StringTok"/>
              </w:rPr>
              <w:t xml:space="preserve">"bonferroni"</w:t>
            </w:r>
            <w:r>
              <w:rPr>
                <w:rStyle w:val="NormalTok"/>
              </w:rPr>
              <w:t xml:space="preserve">)</w:t>
            </w:r>
            <w:r>
              <w:rPr>
                <w:rStyle w:val="SpecialCharTok"/>
              </w:rPr>
              <w:t xml:space="preserve">$</w:t>
            </w:r>
            <w:r>
              <w:rPr>
                <w:rStyle w:val="NormalTok"/>
              </w:rPr>
              <w:t xml:space="preserve">contrasts</w:t>
            </w:r>
            <w:r>
              <w:br/>
            </w:r>
            <w:r>
              <w:rPr>
                <w:rStyle w:val="CommentTok"/>
              </w:rPr>
              <w:t xml:space="preserve">#&gt;  contrast estimate     SE   df t.ratio p.value</w:t>
            </w:r>
            <w:r>
              <w:br/>
            </w:r>
            <w:r>
              <w:rPr>
                <w:rStyle w:val="CommentTok"/>
              </w:rPr>
              <w:t xml:space="preserve">#&gt;  c1 - c2    0.0555 0.0353 38.1   1.571  1.0000</w:t>
            </w:r>
            <w:r>
              <w:br/>
            </w:r>
            <w:r>
              <w:rPr>
                <w:rStyle w:val="CommentTok"/>
              </w:rPr>
              <w:t xml:space="preserve">#&gt;  c1 - c3   -0.0492 0.0363 38.3  -1.354  1.0000</w:t>
            </w:r>
            <w:r>
              <w:br/>
            </w:r>
            <w:r>
              <w:rPr>
                <w:rStyle w:val="CommentTok"/>
              </w:rPr>
              <w:t xml:space="preserve">#&gt;  c1 - c4   -0.0186 0.0413 66.9  -0.449  1.0000</w:t>
            </w:r>
            <w:r>
              <w:br/>
            </w:r>
            <w:r>
              <w:rPr>
                <w:rStyle w:val="CommentTok"/>
              </w:rPr>
              <w:t xml:space="preserve">#&gt;  c1 - c5    0.0660 0.0353 38.2   1.869  0.6927</w:t>
            </w:r>
            <w:r>
              <w:br/>
            </w:r>
            <w:r>
              <w:rPr>
                <w:rStyle w:val="CommentTok"/>
              </w:rPr>
              <w:t xml:space="preserve">#&gt;  c2 - c3   -0.1047 0.0363 38.0  -2.886  0.0639</w:t>
            </w:r>
            <w:r>
              <w:br/>
            </w:r>
            <w:r>
              <w:rPr>
                <w:rStyle w:val="CommentTok"/>
              </w:rPr>
              <w:t xml:space="preserve">#&gt;  c2 - c4   -0.0740 0.0413 66.6  -1.793  0.7747</w:t>
            </w:r>
            <w:r>
              <w:br/>
            </w:r>
            <w:r>
              <w:rPr>
                <w:rStyle w:val="CommentTok"/>
              </w:rPr>
              <w:t xml:space="preserve">#&gt;  c2 - c5    0.0105 0.0353 37.9   0.299  1.0000</w:t>
            </w:r>
            <w:r>
              <w:br/>
            </w:r>
            <w:r>
              <w:rPr>
                <w:rStyle w:val="CommentTok"/>
              </w:rPr>
              <w:t xml:space="preserve">#&gt;  c3 - c4    0.0306 0.0421 65.2   0.726  1.0000</w:t>
            </w:r>
            <w:r>
              <w:br/>
            </w:r>
            <w:r>
              <w:rPr>
                <w:rStyle w:val="CommentTok"/>
              </w:rPr>
              <w:t xml:space="preserve">#&gt;  c3 - c5    0.1152 0.0363 38.1   3.176  0.0296</w:t>
            </w:r>
            <w:r>
              <w:br/>
            </w:r>
            <w:r>
              <w:rPr>
                <w:rStyle w:val="CommentTok"/>
              </w:rPr>
              <w:t xml:space="preserve">#&gt;  c4 - c5    0.0846 0.0413 66.7   2.048  0.4450</w:t>
            </w:r>
            <w:r>
              <w:br/>
            </w:r>
            <w:r>
              <w:rPr>
                <w:rStyle w:val="CommentTok"/>
              </w:rPr>
              <w:t xml:space="preserve">#&gt; </w:t>
            </w:r>
            <w:r>
              <w:br/>
            </w:r>
            <w:r>
              <w:rPr>
                <w:rStyle w:val="CommentTok"/>
              </w:rPr>
              <w:t xml:space="preserve">#&gt; Degrees-of-freedom method: kenward-roger </w:t>
            </w:r>
            <w:r>
              <w:br/>
            </w:r>
            <w:r>
              <w:rPr>
                <w:rStyle w:val="CommentTok"/>
              </w:rPr>
              <w:t xml:space="preserve">#&gt; P value adjustment: bonferroni method for 10 tests</w:t>
            </w:r>
          </w:p>
          <w:bookmarkEnd w:id="19"/>
        </w:tc>
      </w:tr>
    </w:tbl>
    <w:p>
      <w:pPr>
        <w:pStyle w:val="FirstParagraph"/>
      </w:pPr>
      <w:r>
        <w:t xml:space="preserve">The scenario above is common insofar as many studies in second language research involve a continuous response variable and a factor for which multiple comparisons can be useful. Nevertheless, the statistical methods employed in such situations often vary in the literature, and sometimes ignore the intrinsic hierarchical structure of the data altogether (e.g., linear regression models without random effects).</w:t>
      </w:r>
      <w:r>
        <w:t xml:space="preserve"> </w:t>
      </w:r>
      <w:r>
        <w:t xml:space="preserve">Before proceeding, it is worth discussing why a hierarchical model is not only necessary given our data, but also why it is advantageous in the context of multiple comparisons, the topic of the present paper.</w:t>
      </w:r>
    </w:p>
    <w:bookmarkStart w:id="25" w:name="sec-why"/>
    <w:p>
      <w:pPr>
        <w:pStyle w:val="Heading2"/>
      </w:pPr>
      <w:r>
        <w:t xml:space="preserve">Why hierarchical models?</w:t>
      </w:r>
    </w:p>
    <w:p>
      <w:pPr>
        <w:pStyle w:val="FirstParagraph"/>
      </w:pPr>
      <w:r>
        <w:t xml:space="preserve">Hierarchical models are preferred when dealing with data that has inherent grouping structures, such as repeated measures across subjects or items. Unlike simpler models that ignore or simplify within-group variability, hierarchical models incorporate both fixed effects (e.g., the variable</w:t>
      </w:r>
      <w:r>
        <w:t xml:space="preserve"> </w:t>
      </w:r>
      <w:r>
        <w:rPr>
          <w:rStyle w:val="VerbatimChar"/>
        </w:rPr>
        <w:t xml:space="preserve">cond</w:t>
      </w:r>
      <w:r>
        <w:t xml:space="preserve"> </w:t>
      </w:r>
      <w:r>
        <w:t xml:space="preserve">in our data) and random effects (e.g.,</w:t>
      </w:r>
      <w:r>
        <w:t xml:space="preserve"> </w:t>
      </w:r>
      <w:r>
        <w:rPr>
          <w:rStyle w:val="VerbatimChar"/>
        </w:rPr>
        <w:t xml:space="preserve">part</w:t>
      </w:r>
      <w:r>
        <w:t xml:space="preserve"> </w:t>
      </w:r>
      <w:r>
        <w:t xml:space="preserve">and</w:t>
      </w:r>
      <w:r>
        <w:t xml:space="preserve"> </w:t>
      </w:r>
      <w:r>
        <w:rPr>
          <w:rStyle w:val="VerbatimChar"/>
        </w:rPr>
        <w:t xml:space="preserve">item</w:t>
      </w:r>
      <w:r>
        <w:t xml:space="preserve"> </w:t>
      </w:r>
      <w:r>
        <w:t xml:space="preserve">in our data). In the context of data with repeated observations per subject and item, in which the</w:t>
      </w:r>
      <w:r>
        <w:t xml:space="preserve"> </w:t>
      </w:r>
      <w:r>
        <w:rPr>
          <w:i/>
          <w:iCs/>
        </w:rPr>
        <w:t xml:space="preserve">independence assumption</w:t>
      </w:r>
      <w:r>
        <w:t xml:space="preserve"> </w:t>
      </w:r>
      <w:r>
        <w:t xml:space="preserve">is violated, hierarchical models can account for these sources of variability, allowing for more accurate estimates that reflect the true complexity of the data. By including random intercepts or slopes, hierarchical models can capture subject- or item-specific influences, which results in a more nuanced understanding of the effects being studied.</w:t>
      </w:r>
    </w:p>
    <w:p>
      <w:pPr>
        <w:pStyle w:val="BodyText"/>
      </w:pPr>
      <w:r>
        <w:t xml:space="preserve">One important aspect of hierarchical models involves a process called</w:t>
      </w:r>
      <w:r>
        <w:t xml:space="preserve"> </w:t>
      </w:r>
      <w:r>
        <w:rPr>
          <w:i/>
          <w:iCs/>
        </w:rPr>
        <w:t xml:space="preserve">shrinkage</w:t>
      </w:r>
      <w:r>
        <w:t xml:space="preserve"> </w:t>
      </w:r>
      <w:r>
        <w:t xml:space="preserve">(also known as partial pooling). Shrinkage adjusts the estimates for random effects by pulling extreme estimates closer to the group mean. This regularization reduces the impact of outliers or overly variable estimates, leading to more stable and conservative results. As will be seen below, shrinkage can also affect fixed effects estimates, a key point in the analysis that follows.</w:t>
      </w:r>
    </w:p>
    <w:p>
      <w:pPr>
        <w:pStyle w:val="BodyText"/>
      </w:pPr>
      <w:r>
        <w:t xml:space="preserve">Before hierarchical models became mainstream in second language studies, a popular method of analysis involved running separate ANOVAs on data aggregated by subject and by item. There are, of course, negative consequences of such a method. First, two analyses are needed</w:t>
      </w:r>
      <w:r>
        <w:t xml:space="preserve"> </w:t>
      </w:r>
      <w:r>
        <w:rPr>
          <w:i/>
          <w:iCs/>
        </w:rPr>
        <w:t xml:space="preserve">a priori</w:t>
      </w:r>
      <w:r>
        <w:t xml:space="preserve">, one for subject-aggregated data, one for item-aggregated data. As a result, participant- and item-level predictors cannot be included in the same analysis. Second, missing items in one or more condition levels must be removed. Third, ANOVAs do not typically focus on effect sizes, which in turn requires a separate method to quantify the magnitude of effects (e.g.,</w:t>
      </w:r>
      <w:r>
        <w:t xml:space="preserve"> </w:t>
      </w:r>
      <m:oMath>
        <m:sSup>
          <m:e>
            <m:r>
              <m:t>η</m:t>
            </m:r>
          </m:e>
          <m:sup>
            <m:r>
              <m:t>2</m:t>
            </m:r>
          </m:sup>
        </m:sSup>
      </m:oMath>
      <w:r>
        <w:t xml:space="preserve">). We will not discuss ANOVAs in this paper, but one of the linear models we will discuss next (</w:t>
      </w:r>
      <w:r>
        <w:rPr>
          <w:rStyle w:val="VerbatimChar"/>
        </w:rPr>
        <w:t xml:space="preserve">LM</w:t>
      </w:r>
      <w:r>
        <w:t xml:space="preserve">) is equivalent to an ANOVA run on participant-aggregated data.</w:t>
      </w:r>
    </w:p>
    <w:p>
      <w:pPr>
        <w:pStyle w:val="BodyText"/>
      </w:pPr>
      <w:r>
        <w:t xml:space="preserve">Examine</w:t>
      </w:r>
      <w:r>
        <w:t xml:space="preserve"> </w:t>
      </w:r>
      <w:hyperlink w:anchor="fig-imbalance">
        <w:r>
          <w:rPr>
            <w:rStyle w:val="Hyperlink"/>
          </w:rPr>
          <w:t xml:space="preserve">Figure 2</w:t>
        </w:r>
      </w:hyperlink>
      <w:r>
        <w:t xml:space="preserve">, where three different models for our data are compared. Along the</w:t>
      </w:r>
      <w:r>
        <w:t xml:space="preserve"> </w:t>
      </w:r>
      <m:oMath>
        <m:r>
          <m:t>x</m:t>
        </m:r>
      </m:oMath>
      <w:r>
        <w:t xml:space="preserve">-axis,</w:t>
      </w:r>
      <w:r>
        <w:t xml:space="preserve"> </w:t>
      </w:r>
      <w:r>
        <w:rPr>
          <w:rStyle w:val="VerbatimChar"/>
        </w:rPr>
        <w:t xml:space="preserve">LM</w:t>
      </w:r>
      <w:r>
        <w:t xml:space="preserve"> </w:t>
      </w:r>
      <w:r>
        <w:t xml:space="preserve">represents a simple linear regression run over the aggregated mean response by participant for each condition.</w:t>
      </w:r>
      <w:r>
        <w:t xml:space="preserve"> </w:t>
      </w:r>
      <w:r>
        <w:rPr>
          <w:rStyle w:val="VerbatimChar"/>
        </w:rPr>
        <w:t xml:space="preserve">LM+B</w:t>
      </w:r>
      <w:r>
        <w:t xml:space="preserve"> </w:t>
      </w:r>
      <w:r>
        <w:t xml:space="preserve">represents the same model with a Bonferroni correction, which affects the confidence interval of each estimate (but notice that standard errors are not affected). Finally,</w:t>
      </w:r>
      <w:r>
        <w:t xml:space="preserve"> </w:t>
      </w:r>
      <w:r>
        <w:rPr>
          <w:rStyle w:val="VerbatimChar"/>
        </w:rPr>
        <w:t xml:space="preserve">HLM</w:t>
      </w:r>
      <w:r>
        <w:t xml:space="preserve"> </w:t>
      </w:r>
      <w:r>
        <w:t xml:space="preserve">shows the estimates from the hierarchical model from</w:t>
      </w:r>
      <w:r>
        <w:t xml:space="preserve"> </w:t>
      </w:r>
      <w:hyperlink w:anchor="lst-code2c">
        <w:r>
          <w:rPr>
            <w:rStyle w:val="Hyperlink"/>
          </w:rPr>
          <w:t xml:space="preserve">Listing 2</w:t>
        </w:r>
      </w:hyperlink>
      <w:r>
        <w:t xml:space="preserve">. Notice how the estimate for</w:t>
      </w:r>
      <w:r>
        <w:t xml:space="preserve"> </w:t>
      </w:r>
      <w:r>
        <w:rPr>
          <w:rStyle w:val="VerbatimChar"/>
        </w:rPr>
        <w:t xml:space="preserve">c4</w:t>
      </w:r>
      <w:r>
        <w:t xml:space="preserve"> </w:t>
      </w:r>
      <w:r>
        <w:t xml:space="preserve">(highlighted in the figure) is substantially closer to the grand mean, i.e., it has shrunk. In addition, the confidence intervals shown under</w:t>
      </w:r>
      <w:r>
        <w:t xml:space="preserve"> </w:t>
      </w:r>
      <w:r>
        <w:rPr>
          <w:rStyle w:val="VerbatimChar"/>
        </w:rPr>
        <w:t xml:space="preserve">HLM</w:t>
      </w:r>
      <w:r>
        <w:t xml:space="preserve"> </w:t>
      </w:r>
      <w:r>
        <w:t xml:space="preserve">are wider than the intervals under</w:t>
      </w:r>
      <w:r>
        <w:t xml:space="preserve"> </w:t>
      </w:r>
      <w:r>
        <w:rPr>
          <w:rStyle w:val="VerbatimChar"/>
        </w:rPr>
        <w:t xml:space="preserve">LM</w:t>
      </w:r>
      <w:r>
        <w:t xml:space="preserve">.</w:t>
      </w:r>
      <w:r>
        <w:rPr>
          <w:rStyle w:val="FootnoteReference"/>
        </w:rPr>
        <w:footnoteReference w:id="20"/>
      </w:r>
      <w:r>
        <w:t xml:space="preserve"> </w:t>
      </w:r>
      <w:r>
        <w:t xml:space="preserve">Given these two characteristics of the</w:t>
      </w:r>
      <w:r>
        <w:t xml:space="preserve"> </w:t>
      </w:r>
      <w:r>
        <w:rPr>
          <w:rStyle w:val="VerbatimChar"/>
        </w:rPr>
        <w:t xml:space="preserve">HLM</w:t>
      </w:r>
      <w:r>
        <w:t xml:space="preserve"> </w:t>
      </w:r>
      <w:r>
        <w:t xml:space="preserve">in question, multiple comparisons stemming from such a model are more reliable and generally more conservative than those performed from</w:t>
      </w:r>
      <w:r>
        <w:t xml:space="preserve"> </w:t>
      </w:r>
      <w:r>
        <w:rPr>
          <w:rStyle w:val="VerbatimChar"/>
        </w:rPr>
        <w:t xml:space="preserve">LM</w:t>
      </w:r>
      <w:r>
        <w:t xml:space="preserve"> </w:t>
      </w:r>
      <w:r>
        <w:t xml:space="preserve">or</w:t>
      </w:r>
      <w:r>
        <w:t xml:space="preserve"> </w:t>
      </w:r>
      <w:r>
        <w:rPr>
          <w:rStyle w:val="VerbatimChar"/>
        </w:rPr>
        <w:t xml:space="preserve">LM+B</w:t>
      </w:r>
      <w:r>
        <w:t xml:space="preserve">—this will also be clear when we examine our model figure later. It is also worth reiterating that</w:t>
      </w:r>
      <w:r>
        <w:t xml:space="preserve"> </w:t>
      </w:r>
      <w:r>
        <w:rPr>
          <w:rStyle w:val="VerbatimChar"/>
        </w:rPr>
        <w:t xml:space="preserve">HLM</w:t>
      </w:r>
      <w:r>
        <w:t xml:space="preserve"> </w:t>
      </w:r>
      <w:r>
        <w:t xml:space="preserve">includes both by-participant</w:t>
      </w:r>
      <w:r>
        <w:t xml:space="preserve"> </w:t>
      </w:r>
      <w:r>
        <w:rPr>
          <w:i/>
          <w:iCs/>
        </w:rPr>
        <w:t xml:space="preserve">and</w:t>
      </w:r>
      <w:r>
        <w:t xml:space="preserve"> </w:t>
      </w:r>
      <w:r>
        <w:t xml:space="preserve">by-item random intercepts</w:t>
      </w:r>
      <w:r>
        <w:t xml:space="preserve"> </w:t>
      </w:r>
      <w:r>
        <w:rPr>
          <w:i/>
          <w:iCs/>
        </w:rPr>
        <w:t xml:space="preserve">in the same analysis</w:t>
      </w:r>
      <w:r>
        <w:t xml:space="preserve">, and is therefore objectively more complex and more comprehensive than the other two models. The reader can find a similar scenario and a more detailed discussion in</w:t>
      </w:r>
      <w:r>
        <w:t xml:space="preserve"> </w:t>
      </w:r>
      <w:r>
        <w:t xml:space="preserve">Gelman et al. (2012)</w:t>
      </w:r>
      <w:r>
        <w:t xml:space="preserve">.</w:t>
      </w:r>
    </w:p>
    <w:tbl>
      <w:tblPr>
        <w:tblStyle w:val="Table"/>
        <w:tblW w:type="pct" w:w="5000"/>
        <w:tblLayout w:type="fixed"/>
        <w:tblLook w:firstRow="0" w:lastRow="0" w:firstColumn="0" w:lastColumn="0" w:noHBand="0" w:noVBand="0" w:val="0000"/>
      </w:tblPr>
      <w:tblGrid>
        <w:gridCol w:w="7920"/>
      </w:tblGrid>
      <w:tr>
        <w:tc>
          <w:tcPr/>
          <w:bookmarkStart w:id="24" w:name="fig-imbalance"/>
          <w:p>
            <w:pPr>
              <w:pStyle w:val="Compact"/>
              <w:jc w:val="center"/>
            </w:pPr>
            <w:r>
              <w:drawing>
                <wp:inline>
                  <wp:extent cx="5349240" cy="1910442"/>
                  <wp:effectExtent b="0" l="0" r="0" t="0"/>
                  <wp:docPr descr="" title="" id="22" name="Picture"/>
                  <a:graphic>
                    <a:graphicData uri="http://schemas.openxmlformats.org/drawingml/2006/picture">
                      <pic:pic>
                        <pic:nvPicPr>
                          <pic:cNvPr descr="multcomp_doc_files/figure-docx/fig-imbalance-1.png" id="23" name="Picture"/>
                          <pic:cNvPicPr>
                            <a:picLocks noChangeArrowheads="1" noChangeAspect="1"/>
                          </pic:cNvPicPr>
                        </pic:nvPicPr>
                        <pic:blipFill>
                          <a:blip r:embed="rId21"/>
                          <a:stretch>
                            <a:fillRect/>
                          </a:stretch>
                        </pic:blipFill>
                        <pic:spPr bwMode="auto">
                          <a:xfrm>
                            <a:off x="0" y="0"/>
                            <a:ext cx="5349240" cy="1910442"/>
                          </a:xfrm>
                          <a:prstGeom prst="rect">
                            <a:avLst/>
                          </a:prstGeom>
                          <a:noFill/>
                          <a:ln w="9525">
                            <a:noFill/>
                            <a:headEnd/>
                            <a:tailEnd/>
                          </a:ln>
                        </pic:spPr>
                      </pic:pic>
                    </a:graphicData>
                  </a:graphic>
                </wp:inline>
              </w:drawing>
            </w:r>
          </w:p>
          <w:p>
            <w:pPr>
              <w:jc w:val="center"/>
            </w:pPr>
            <w:pPr>
              <w:jc w:val="left"/>
              <w:spacing w:before="200"/>
              <w:pStyle w:val="ImageCaption"/>
            </w:pPr>
            <w:r>
              <w:t xml:space="preserve">Figure 2: Estimate comparison across three models (</w:t>
            </w:r>
            <m:oMath>
              <m:r>
                <m:t>x</m:t>
              </m:r>
            </m:oMath>
            <w:r>
              <w:t xml:space="preserve">-axis). Standard errors (horizontal lines) and 95% confidence intervals (vertical lines) are also shown for each estimate. Dashed line represents the average across all conditions (panels on top).</w:t>
            </w:r>
          </w:p>
          <w:bookmarkEnd w:id="24"/>
        </w:tc>
      </w:tr>
    </w:tbl>
    <w:p>
      <w:pPr>
        <w:pStyle w:val="BodyText"/>
      </w:pPr>
      <w:r>
        <w:t xml:space="preserve">Shrinkage is not always visible in the estimates of our fixed effects, since its effect is more directly observable in our random effects. The reason why we do see shrinkage in our estimate for</w:t>
      </w:r>
      <w:r>
        <w:t xml:space="preserve"> </w:t>
      </w:r>
      <w:r>
        <w:rPr>
          <w:rStyle w:val="VerbatimChar"/>
        </w:rPr>
        <w:t xml:space="preserve">c4</w:t>
      </w:r>
      <w:r>
        <w:t xml:space="preserve"> </w:t>
      </w:r>
      <w:r>
        <w:t xml:space="preserve">here is because our data is imbalanced: condition</w:t>
      </w:r>
      <w:r>
        <w:t xml:space="preserve"> </w:t>
      </w:r>
      <w:r>
        <w:rPr>
          <w:rStyle w:val="VerbatimChar"/>
        </w:rPr>
        <w:t xml:space="preserve">c4</w:t>
      </w:r>
      <w:r>
        <w:t xml:space="preserve"> </w:t>
      </w:r>
      <w:r>
        <w:t xml:space="preserve">has only 50 observations (cf. </w:t>
      </w:r>
      <m:oMath>
        <m:r>
          <m:t>n</m:t>
        </m:r>
        <m:r>
          <m:rPr>
            <m:sty m:val="p"/>
          </m:rPr>
          <m:t>=</m:t>
        </m:r>
      </m:oMath>
      <w:r>
        <w:t xml:space="preserve"> </w:t>
      </w:r>
      <w:r>
        <w:t xml:space="preserve">189–215 for the other conditions). This represents a situation that we often encounter, where a particular group of interest is imbalanced and may have too much influence on the estimates of our models. Our hierarchical model here mitigates the problem by pulling the estimate of</w:t>
      </w:r>
      <w:r>
        <w:t xml:space="preserve"> </w:t>
      </w:r>
      <w:r>
        <w:rPr>
          <w:rStyle w:val="VerbatimChar"/>
        </w:rPr>
        <w:t xml:space="preserve">c4</w:t>
      </w:r>
      <w:r>
        <w:t xml:space="preserve"> </w:t>
      </w:r>
      <w:r>
        <w:t xml:space="preserve">towards the grand mean, since it does not have enough empirical evidence (i.e., observations) to grant the estimate provided by</w:t>
      </w:r>
      <w:r>
        <w:t xml:space="preserve"> </w:t>
      </w:r>
      <w:r>
        <w:rPr>
          <w:rStyle w:val="VerbatimChar"/>
        </w:rPr>
        <w:t xml:space="preserve">LM</w:t>
      </w:r>
      <w:r>
        <w:t xml:space="preserve"> </w:t>
      </w:r>
      <w:r>
        <w:t xml:space="preserve">and</w:t>
      </w:r>
      <w:r>
        <w:t xml:space="preserve"> </w:t>
      </w:r>
      <w:r>
        <w:rPr>
          <w:rStyle w:val="VerbatimChar"/>
        </w:rPr>
        <w:t xml:space="preserve">LM+B</w:t>
      </w:r>
      <w:r>
        <w:t xml:space="preserve">.</w:t>
      </w:r>
    </w:p>
    <w:p>
      <w:pPr>
        <w:pStyle w:val="BodyText"/>
      </w:pPr>
      <w:r>
        <w:t xml:space="preserve">In general, then, hierarchical models allow for more reliable confidence intervals even without corrections such as Bonferroni, a desirable characteristic, given that such corrections typically reduce statistical power and tend to modify only confidence intervals (or</w:t>
      </w:r>
      <w:r>
        <w:t xml:space="preserve"> </w:t>
      </w:r>
      <m:oMath>
        <m:r>
          <m:t>p</m:t>
        </m:r>
      </m:oMath>
      <w:r>
        <w:t xml:space="preserve">-values), keeping estimates stationary. Hierarchical models also reduce the issue of multiple comparisons, since point estimates can be shifted (</w:t>
      </w:r>
      <w:r>
        <w:rPr>
          <w:i/>
          <w:iCs/>
        </w:rPr>
        <w:t xml:space="preserve">shrinkage</w:t>
      </w:r>
      <w:r>
        <w:t xml:space="preserve">), as demonstrated above—see</w:t>
      </w:r>
      <w:r>
        <w:t xml:space="preserve"> </w:t>
      </w:r>
      <w:r>
        <w:t xml:space="preserve">Gelman &amp; Tuerlinckx (2000)</w:t>
      </w:r>
      <w:r>
        <w:t xml:space="preserve">,</w:t>
      </w:r>
      <w:r>
        <w:t xml:space="preserve"> </w:t>
      </w:r>
      <w:r>
        <w:t xml:space="preserve">Gelman et al. (2012)</w:t>
      </w:r>
      <w:r>
        <w:t xml:space="preserve"> </w:t>
      </w:r>
      <w:r>
        <w:t xml:space="preserve">and</w:t>
      </w:r>
      <w:r>
        <w:t xml:space="preserve"> </w:t>
      </w:r>
      <w:r>
        <w:t xml:space="preserve">Kruschke (2015, pp. 567–568)</w:t>
      </w:r>
      <w:r>
        <w:t xml:space="preserve">. And because multiple comparisons are derived from the estimates of each level being compared, more reliable estimates in our models lead to more reliable comparisons from said models.</w:t>
      </w:r>
    </w:p>
    <w:p>
      <w:pPr>
        <w:pStyle w:val="BodyText"/>
      </w:pPr>
      <w:r>
        <w:t xml:space="preserve">In the sections that follow, we will reproduce the analysis in</w:t>
      </w:r>
      <w:r>
        <w:t xml:space="preserve"> </w:t>
      </w:r>
      <w:hyperlink w:anchor="lst-code2b">
        <w:r>
          <w:rPr>
            <w:rStyle w:val="Hyperlink"/>
          </w:rPr>
          <w:t xml:space="preserve">Listing 1</w:t>
        </w:r>
      </w:hyperlink>
      <w:r>
        <w:t xml:space="preserve"> </w:t>
      </w:r>
      <w:r>
        <w:t xml:space="preserve">using a Bayesian approach. In doing so, we will also discuss fundamental differences between Frequentist and Bayesian statistics, and how favoring the latter can offer intuitive insight on the estimation of parameters, especially when it comes to multiple comparisons.</w:t>
      </w:r>
    </w:p>
    <w:bookmarkEnd w:id="25"/>
    <w:bookmarkEnd w:id="26"/>
    <w:bookmarkStart w:id="38" w:name="sec-methods"/>
    <w:p>
      <w:pPr>
        <w:pStyle w:val="Heading1"/>
      </w:pPr>
      <w:r>
        <w:t xml:space="preserve">Methods</w:t>
      </w:r>
    </w:p>
    <w:p>
      <w:pPr>
        <w:pStyle w:val="FirstParagraph"/>
      </w:pPr>
      <w:r>
        <w:t xml:space="preserve">In this section, I provide a brief introduction to Bayesian data analysis and review the packages that will be used in</w:t>
      </w:r>
      <w:r>
        <w:t xml:space="preserve"> </w:t>
      </w:r>
      <w:hyperlink w:anchor="sec-analysis">
        <w:r>
          <w:rPr>
            <w:rStyle w:val="Hyperlink"/>
          </w:rPr>
          <w:t xml:space="preserve">Section 4</w:t>
        </w:r>
      </w:hyperlink>
      <w:r>
        <w:t xml:space="preserve">.</w:t>
      </w:r>
    </w:p>
    <w:bookmarkStart w:id="35" w:name="sec-bayes"/>
    <w:p>
      <w:pPr>
        <w:pStyle w:val="Heading2"/>
      </w:pPr>
      <w:r>
        <w:t xml:space="preserve">A brief review of Bayesian data analysis</w:t>
      </w:r>
    </w:p>
    <w:p>
      <w:pPr>
        <w:pStyle w:val="FirstParagraph"/>
      </w:pPr>
      <w:r>
        <w:t xml:space="preserve">This section will focus on the minimum amount of information needed on Bayesian data analysis for the remainder of this paper. With such an immense topic, anything more than the basics would be unrealistic given the scope of the present paper. A user-friendly introduction to the topic is provided in</w:t>
      </w:r>
      <w:r>
        <w:t xml:space="preserve"> </w:t>
      </w:r>
      <w:r>
        <w:t xml:space="preserve">Kruschke &amp; Liddell (2018)</w:t>
      </w:r>
      <w:r>
        <w:t xml:space="preserve">,</w:t>
      </w:r>
      <w:r>
        <w:t xml:space="preserve"> </w:t>
      </w:r>
      <w:r>
        <w:t xml:space="preserve">Garcia (2021, ch. 10)</w:t>
      </w:r>
      <w:r>
        <w:t xml:space="preserve"> </w:t>
      </w:r>
      <w:r>
        <w:t xml:space="preserve">and</w:t>
      </w:r>
      <w:r>
        <w:t xml:space="preserve"> </w:t>
      </w:r>
      <w:r>
        <w:t xml:space="preserve">Garcia (2023)</w:t>
      </w:r>
      <w:r>
        <w:t xml:space="preserve">. Comprehensive introductions to Bayesian data analysis are provided in</w:t>
      </w:r>
      <w:r>
        <w:t xml:space="preserve"> </w:t>
      </w:r>
      <w:r>
        <w:t xml:space="preserve">McElreath (2020)</w:t>
      </w:r>
      <w:r>
        <w:t xml:space="preserve"> </w:t>
      </w:r>
      <w:r>
        <w:t xml:space="preserve">and</w:t>
      </w:r>
      <w:r>
        <w:t xml:space="preserve"> </w:t>
      </w:r>
      <w:r>
        <w:t xml:space="preserve">Kruschke (2015)</w:t>
      </w:r>
      <w:r>
        <w:t xml:space="preserve">.</w:t>
      </w:r>
    </w:p>
    <w:p>
      <w:pPr>
        <w:pStyle w:val="BodyText"/>
      </w:pPr>
      <w:r>
        <w:t xml:space="preserve">A typical statistical test or model generates the probability of observing data that is at least as extreme as the data we have given a particular statistic (e.g.,</w:t>
      </w:r>
      <w:r>
        <w:t xml:space="preserve"> </w:t>
      </w:r>
      <m:oMath>
        <m:acc>
          <m:accPr>
            <m:chr m:val="̂"/>
          </m:accPr>
          <m:e>
            <m:r>
              <m:t>β</m:t>
            </m:r>
          </m:e>
        </m:acc>
      </m:oMath>
      <w:r>
        <w:t xml:space="preserve">) under the null hypothesis. This is the definition of</w:t>
      </w:r>
      <w:r>
        <w:t xml:space="preserve"> </w:t>
      </w:r>
      <w:r>
        <w:rPr>
          <w:i/>
          <w:iCs/>
        </w:rPr>
        <w:t xml:space="preserve">p</w:t>
      </w:r>
      <w:r>
        <w:t xml:space="preserve">-values,</w:t>
      </w:r>
      <w:r>
        <w:t xml:space="preserve"> </w:t>
      </w:r>
      <w:r>
        <w:t xml:space="preserve">a concept inherently tied to the notion of Type I error and the corrections often applied when conducting multiple comparisons. In contrast, Bayesian approaches do not use</w:t>
      </w:r>
      <w:r>
        <w:t xml:space="preserve"> </w:t>
      </w:r>
      <m:oMath>
        <m:r>
          <m:t>p</m:t>
        </m:r>
      </m:oMath>
      <w:r>
        <w:t xml:space="preserve">-values, and therefore do not have a family-wise error rate in the traditional Frequentist sense. However, this does not eliminate the possibility of spurious results or false positives, which can occur regardless of the statistical framework employed.</w:t>
      </w:r>
      <w:r>
        <w:t xml:space="preserve"> </w:t>
      </w:r>
      <w:r>
        <w:t xml:space="preserve">In Frequentist data analysis, then, we are after</w:t>
      </w:r>
      <w:r>
        <w:t xml:space="preserve"> </w:t>
      </w:r>
      <m:oMath>
        <m:r>
          <m:t>P</m:t>
        </m:r>
        <m:r>
          <m:rPr>
            <m:sty m:val="p"/>
          </m:rPr>
          <m:t>(</m:t>
        </m:r>
        <m:r>
          <m:t>d</m:t>
        </m:r>
        <m:r>
          <m:t>a</m:t>
        </m:r>
        <m:r>
          <m:t>t</m:t>
        </m:r>
        <m:r>
          <m:t>a</m:t>
        </m:r>
        <m:r>
          <m:rPr>
            <m:sty m:val="p"/>
          </m:rPr>
          <m:t>|</m:t>
        </m:r>
        <m:r>
          <m:t>π</m:t>
        </m:r>
        <m:r>
          <m:rPr>
            <m:sty m:val="p"/>
          </m:rPr>
          <m:t>)</m:t>
        </m:r>
      </m:oMath>
      <w:r>
        <w:t xml:space="preserve">, where</w:t>
      </w:r>
      <w:r>
        <w:t xml:space="preserve"> </w:t>
      </w:r>
      <m:oMath>
        <m:r>
          <m:t>π</m:t>
        </m:r>
      </m:oMath>
      <w:r>
        <w:t xml:space="preserve"> </w:t>
      </w:r>
      <w:r>
        <w:t xml:space="preserve">is any given statistic of interest. In this framework, we think of</w:t>
      </w:r>
      <w:r>
        <w:t xml:space="preserve"> </w:t>
      </w:r>
      <w:r>
        <w:t xml:space="preserve">“probability”</w:t>
      </w:r>
      <w:r>
        <w:t xml:space="preserve"> </w:t>
      </w:r>
      <w:r>
        <w:t xml:space="preserve">as the frequency of an event in a</w:t>
      </w:r>
      <w:r>
        <w:t xml:space="preserve"> </w:t>
      </w:r>
      <w:r>
        <w:rPr>
          <w:i/>
          <w:iCs/>
        </w:rPr>
        <w:t xml:space="preserve">large</w:t>
      </w:r>
      <w:r>
        <w:t xml:space="preserve"> </w:t>
      </w:r>
      <w:r>
        <w:t xml:space="preserve">sample—hence the name</w:t>
      </w:r>
      <w:r>
        <w:t xml:space="preserve"> </w:t>
      </w:r>
      <w:r>
        <w:rPr>
          <w:i/>
          <w:iCs/>
        </w:rPr>
        <w:t xml:space="preserve">Frequentist</w:t>
      </w:r>
      <w:r>
        <w:t xml:space="preserve"> </w:t>
      </w:r>
      <w:r>
        <w:t xml:space="preserve">and the importance of larger samples.</w:t>
      </w:r>
    </w:p>
    <w:p>
      <w:pPr>
        <w:pStyle w:val="BodyText"/>
      </w:pPr>
      <w:r>
        <w:t xml:space="preserve">In a Bayesian framework, we generate the probability of a</w:t>
      </w:r>
      <w:r>
        <w:t xml:space="preserve"> </w:t>
      </w:r>
      <w:r>
        <w:rPr>
          <w:i/>
          <w:iCs/>
        </w:rPr>
        <w:t xml:space="preserve">parameter</w:t>
      </w:r>
      <w:r>
        <w:t xml:space="preserve"> </w:t>
      </w:r>
      <w:r>
        <w:t xml:space="preserve">given the data, i.e., the opposite of what we get in a Frequentist framework. In other words, we are given</w:t>
      </w:r>
      <w:r>
        <w:t xml:space="preserve"> </w:t>
      </w:r>
      <m:oMath>
        <m:r>
          <m:t>P</m:t>
        </m:r>
        <m:r>
          <m:rPr>
            <m:sty m:val="p"/>
          </m:rPr>
          <m:t>(</m:t>
        </m:r>
        <m:r>
          <m:t>π</m:t>
        </m:r>
        <m:r>
          <m:rPr>
            <m:sty m:val="p"/>
          </m:rPr>
          <m:t>|</m:t>
        </m:r>
        <m:r>
          <m:t>d</m:t>
        </m:r>
        <m:r>
          <m:t>a</m:t>
        </m:r>
        <m:r>
          <m:t>t</m:t>
        </m:r>
        <m:r>
          <m:t>a</m:t>
        </m:r>
        <m:r>
          <m:rPr>
            <m:sty m:val="p"/>
          </m:rPr>
          <m:t>)</m:t>
        </m:r>
      </m:oMath>
      <w:r>
        <w:t xml:space="preserve">, which allows us to estimate the probability of a hypothesis. The essence of Bayesian data analysis comes from Bayes’ theorem</w:t>
      </w:r>
      <w:r>
        <w:t xml:space="preserve"> </w:t>
      </w:r>
      <w:r>
        <w:t xml:space="preserve">(Bayes, 1763; also see McGrayne, 2011)</w:t>
      </w:r>
      <w:r>
        <w:t xml:space="preserve">, shown in</w:t>
      </w:r>
      <w:r>
        <w:t xml:space="preserve"> </w:t>
      </w:r>
      <w:hyperlink w:anchor="eq-bayes">
        <w:r>
          <w:rPr>
            <w:rStyle w:val="Hyperlink"/>
          </w:rPr>
          <w:t xml:space="preserve">Equation 1</w:t>
        </w:r>
      </w:hyperlink>
      <w:r>
        <w:t xml:space="preserve">. The theorem states that the posterior,</w:t>
      </w:r>
      <w:r>
        <w:t xml:space="preserve"> </w:t>
      </w:r>
      <m:oMath>
        <m:r>
          <m:t>P</m:t>
        </m:r>
        <m:r>
          <m:rPr>
            <m:sty m:val="p"/>
          </m:rPr>
          <m:t>(</m:t>
        </m:r>
        <m:r>
          <m:t>π</m:t>
        </m:r>
        <m:r>
          <m:rPr>
            <m:sty m:val="p"/>
          </m:rPr>
          <m:t>|</m:t>
        </m:r>
        <m:r>
          <m:t>d</m:t>
        </m:r>
        <m:r>
          <m:t>a</m:t>
        </m:r>
        <m:r>
          <m:t>t</m:t>
        </m:r>
        <m:r>
          <m:t>a</m:t>
        </m:r>
        <m:r>
          <m:rPr>
            <m:sty m:val="p"/>
          </m:rPr>
          <m:t>)</m:t>
        </m:r>
      </m:oMath>
      <w:r>
        <w:t xml:space="preserve">, is equal to the likelihood of the data,</w:t>
      </w:r>
      <w:r>
        <w:t xml:space="preserve"> </w:t>
      </w:r>
      <m:oMath>
        <m:r>
          <m:t>P</m:t>
        </m:r>
        <m:r>
          <m:rPr>
            <m:sty m:val="p"/>
          </m:rPr>
          <m:t>(</m:t>
        </m:r>
        <m:r>
          <m:t>d</m:t>
        </m:r>
        <m:r>
          <m:t>a</m:t>
        </m:r>
        <m:r>
          <m:t>t</m:t>
        </m:r>
        <m:r>
          <m:t>a</m:t>
        </m:r>
        <m:r>
          <m:rPr>
            <m:sty m:val="p"/>
          </m:rPr>
          <m:t>|</m:t>
        </m:r>
        <m:r>
          <m:t>π</m:t>
        </m:r>
        <m:r>
          <m:rPr>
            <m:sty m:val="p"/>
          </m:rPr>
          <m:t>)</m:t>
        </m:r>
      </m:oMath>
      <w:r>
        <w:t xml:space="preserve">, times the prior</w:t>
      </w:r>
      <w:r>
        <w:t xml:space="preserve"> </w:t>
      </w:r>
      <m:oMath>
        <m:r>
          <m:t>P</m:t>
        </m:r>
        <m:r>
          <m:rPr>
            <m:sty m:val="p"/>
          </m:rPr>
          <m:t>(</m:t>
        </m:r>
        <m:r>
          <m:t>π</m:t>
        </m:r>
        <m:r>
          <m:rPr>
            <m:sty m:val="p"/>
          </m:rPr>
          <m:t>)</m:t>
        </m:r>
      </m:oMath>
      <w:r>
        <w:t xml:space="preserve">, divided by the marginal likelihood of the data,</w:t>
      </w:r>
      <w:r>
        <w:t xml:space="preserve"> </w:t>
      </w:r>
      <m:oMath>
        <m:r>
          <m:t>P</m:t>
        </m:r>
        <m:r>
          <m:rPr>
            <m:sty m:val="p"/>
          </m:rPr>
          <m:t>(</m:t>
        </m:r>
        <m:r>
          <m:t>d</m:t>
        </m:r>
        <m:r>
          <m:t>a</m:t>
        </m:r>
        <m:r>
          <m:t>t</m:t>
        </m:r>
        <m:r>
          <m:t>a</m:t>
        </m:r>
        <m:r>
          <m:rPr>
            <m:sty m:val="p"/>
          </m:rPr>
          <m:t>)</m:t>
        </m:r>
      </m:oMath>
      <w:r>
        <w:t xml:space="preserve">.</w:t>
      </w:r>
    </w:p>
    <w:p>
      <w:pPr>
        <w:pStyle w:val="BodyText"/>
      </w:pPr>
      <w:bookmarkStart w:id="27" w:name="eq-bayes"/>
      <m:oMathPara>
        <m:oMathParaPr>
          <m:jc m:val="center"/>
        </m:oMathParaPr>
        <m:oMath>
          <m:r>
            <m:t>P</m:t>
          </m:r>
          <m:r>
            <m:rPr>
              <m:sty m:val="p"/>
            </m:rPr>
            <m:t>(</m:t>
          </m:r>
          <m:r>
            <m:t>π</m:t>
          </m:r>
          <m:r>
            <m:rPr>
              <m:sty m:val="p"/>
            </m:rPr>
            <m:t>|</m:t>
          </m:r>
          <m:r>
            <m:t>d</m:t>
          </m:r>
          <m:r>
            <m:t>a</m:t>
          </m:r>
          <m:r>
            <m:t>t</m:t>
          </m:r>
          <m:r>
            <m:t>a</m:t>
          </m:r>
          <m:r>
            <m:rPr>
              <m:sty m:val="p"/>
            </m:rPr>
            <m:t>)</m:t>
          </m:r>
          <m:r>
            <m:rPr>
              <m:sty m:val="p"/>
            </m:rPr>
            <m:t>=</m:t>
          </m:r>
          <m:f>
            <m:fPr>
              <m:type m:val="bar"/>
            </m:fPr>
            <m:num>
              <m:r>
                <m:t>P</m:t>
              </m:r>
              <m:r>
                <m:rPr>
                  <m:sty m:val="p"/>
                </m:rPr>
                <m:t>(</m:t>
              </m:r>
              <m:r>
                <m:t>d</m:t>
              </m:r>
              <m:r>
                <m:t>a</m:t>
              </m:r>
              <m:r>
                <m:t>t</m:t>
              </m:r>
              <m:r>
                <m:t>a</m:t>
              </m:r>
              <m:r>
                <m:rPr>
                  <m:sty m:val="p"/>
                </m:rPr>
                <m:t>|</m:t>
              </m:r>
              <m:r>
                <m:t>π</m:t>
              </m:r>
              <m:r>
                <m:rPr>
                  <m:sty m:val="p"/>
                </m:rPr>
                <m:t>)</m:t>
              </m:r>
              <m:r>
                <m:rPr>
                  <m:sty m:val="p"/>
                </m:rPr>
                <m:t>×</m:t>
              </m:r>
              <m:r>
                <m:t>P</m:t>
              </m:r>
              <m:r>
                <m:rPr>
                  <m:sty m:val="p"/>
                </m:rPr>
                <m:t>(</m:t>
              </m:r>
              <m:r>
                <m:t>π</m:t>
              </m:r>
              <m:r>
                <m:rPr>
                  <m:sty m:val="p"/>
                </m:rPr>
                <m:t>)</m:t>
              </m:r>
            </m:num>
            <m:den>
              <m:r>
                <m:t>P</m:t>
              </m:r>
              <m:r>
                <m:rPr>
                  <m:sty m:val="p"/>
                </m:rPr>
                <m:t>(</m:t>
              </m:r>
              <m:r>
                <m:t>d</m:t>
              </m:r>
              <m:r>
                <m:t>a</m:t>
              </m:r>
              <m:r>
                <m:t>t</m:t>
              </m:r>
              <m:r>
                <m:t>a</m:t>
              </m:r>
              <m:r>
                <m:rPr>
                  <m:sty m:val="p"/>
                </m:rPr>
                <m:t>)</m:t>
              </m:r>
            </m:den>
          </m:f>
          <m:r>
            <m:t>  </m:t>
          </m:r>
          <m:r>
            <m:rPr>
              <m:sty m:val="p"/>
            </m:rPr>
            <m:t>(</m:t>
          </m:r>
          <m:r>
            <m:t>1</m:t>
          </m:r>
          <m:r>
            <m:rPr>
              <m:sty m:val="p"/>
            </m:rPr>
            <m:t>)</m:t>
          </m:r>
        </m:oMath>
      </m:oMathPara>
      <w:bookmarkEnd w:id="27"/>
    </w:p>
    <w:p>
      <w:pPr>
        <w:pStyle w:val="FirstParagraph"/>
      </w:pPr>
      <w:r>
        <w:t xml:space="preserve">One crucial component in Bayes’ theorem is the prior, which allows us to incorporate our expectations into the model. These expectations are informed by the literature: if we know about a particular phenomenon, it is just natural that this knowledge should be included in a model. Not only is this aligned with the accumulation of knowledge assumed in science</w:t>
      </w:r>
      <w:r>
        <w:t xml:space="preserve"> </w:t>
      </w:r>
      <w:r>
        <w:t xml:space="preserve">(e.g., Brand et al., 2019)</w:t>
      </w:r>
      <w:r>
        <w:t xml:space="preserve">, but it also bridges a common gap between our theoretical assumptions and our data analysis,</w:t>
      </w:r>
      <w:r>
        <w:t xml:space="preserve"> </w:t>
      </w:r>
      <w:r>
        <w:t xml:space="preserve">which typically ignores any prior knowledge that we may have on the object being analyzed. A third advantage of priors is the fact that they can cause shrinkage even in non-hierarchical models. As discussed above, shrinkage is an advantage insofar as it improves the reliability of our estimates by decreasing the influence of noise in the data, pulling extreme values towards the mean.</w:t>
      </w:r>
    </w:p>
    <w:p>
      <w:pPr>
        <w:pStyle w:val="BodyText"/>
      </w:pPr>
      <w:r>
        <w:t xml:space="preserve">Even though the notion of priors is intuitive, some may argue that priors can bias our model. This can be true: if we force our priors to be where we want them to be with a high degree of certainty, the posterior distribution will be strongly biased towards our priors. This, however, is not how priors are supposed to work—see</w:t>
      </w:r>
      <w:r>
        <w:t xml:space="preserve"> </w:t>
      </w:r>
      <w:r>
        <w:t xml:space="preserve">Gelman (2008)</w:t>
      </w:r>
      <w:r>
        <w:t xml:space="preserve"> </w:t>
      </w:r>
      <w:r>
        <w:t xml:space="preserve">on common objections to Bayesian data analysis and</w:t>
      </w:r>
      <w:r>
        <w:t xml:space="preserve"> </w:t>
      </w:r>
      <w:r>
        <w:t xml:space="preserve">Gelman &amp; Hennig (2017)</w:t>
      </w:r>
      <w:r>
        <w:t xml:space="preserve"> </w:t>
      </w:r>
      <w:r>
        <w:t xml:space="preserve">on the notions of objectivity and subjectivity in statistics. Priors must be informed by the literature and by previous experiments. Furthermore, our</w:t>
      </w:r>
      <w:r>
        <w:t xml:space="preserve"> </w:t>
      </w:r>
      <w:r>
        <w:rPr>
          <w:i/>
          <w:iCs/>
        </w:rPr>
        <w:t xml:space="preserve">certainty</w:t>
      </w:r>
      <w:r>
        <w:t xml:space="preserve"> </w:t>
      </w:r>
      <w:r>
        <w:t xml:space="preserve">surrounding prior distributions must reflect the state of knowledge surrounding the object being examined. If we have over one hundred studies showing that an effect size is between 1.2 and 1.4, we could certainly assume a prior distribution centered around 1.3. Considering a Gaussian prior distribution, we could even set its standard deviation to a low number to incorporate the high degree of precision in the literature in this scenario.</w:t>
      </w:r>
    </w:p>
    <w:p>
      <w:pPr>
        <w:pStyle w:val="BodyText"/>
      </w:pPr>
      <w:r>
        <w:t xml:space="preserve">Bayesian models estimate effects by sampling from the posterior distribution by using a wide range of algorithms, not by solving the theorem above analytically (which is computationally impossible even for relatively simple models). Think of this sampling as a</w:t>
      </w:r>
      <w:r>
        <w:t xml:space="preserve"> </w:t>
      </w:r>
      <w:r>
        <w:t xml:space="preserve">“random walk”</w:t>
      </w:r>
      <w:r>
        <w:t xml:space="preserve"> </w:t>
      </w:r>
      <w:r>
        <w:t xml:space="preserve">in the parameter space</w:t>
      </w:r>
      <w:r>
        <w:rPr>
          <w:rStyle w:val="FootnoteReference"/>
        </w:rPr>
        <w:footnoteReference w:id="28"/>
      </w:r>
      <w:r>
        <w:t xml:space="preserve">—this is indeed the typical metaphor employed for Markov-Chain Monte Carlo methods, which are commonly associated with posterior sampling. Suppose we are interested in the difference in means between two groups. Our model will consider a multitude of possible values for this difference. Each value will yield a probability:</w:t>
      </w:r>
      <w:r>
        <w:t xml:space="preserve"> </w:t>
      </w:r>
      <w:r>
        <w:t xml:space="preserve">“take value 0.7 and calculate the probability of observing this value given the data being modelled”</w:t>
      </w:r>
      <w:r>
        <w:t xml:space="preserve">. After enough values are considered (i.e., iterations), the sampling algorithm will have visited values that are more likely (given the data) more frequently. This clustering gives us our posterior distribution for the parameter in question, i.e., the difference between the two groups. In reality, we will use a language called Stan</w:t>
      </w:r>
      <w:r>
        <w:t xml:space="preserve"> </w:t>
      </w:r>
      <w:r>
        <w:t xml:space="preserve">(Carpenter et al., 2017)</w:t>
      </w:r>
      <w:r>
        <w:t xml:space="preserve">, which employs an algorithm called Hamiltonian Monte Carlo (HMC). A</w:t>
      </w:r>
      <w:r>
        <w:t xml:space="preserve"> </w:t>
      </w:r>
      <w:r>
        <w:t xml:space="preserve">“random walk”</w:t>
      </w:r>
      <w:r>
        <w:t xml:space="preserve"> </w:t>
      </w:r>
      <w:r>
        <w:t xml:space="preserve">is not the best way to describe HMC, but the idea is still valid for our purposes here.</w:t>
      </w:r>
      <w:r>
        <w:t xml:space="preserve"> </w:t>
      </w:r>
      <w:hyperlink w:anchor="fig-3d">
        <w:r>
          <w:rPr>
            <w:rStyle w:val="Hyperlink"/>
          </w:rPr>
          <w:t xml:space="preserve">Figure 3</w:t>
        </w:r>
      </w:hyperlink>
      <w:r>
        <w:t xml:space="preserve">, from</w:t>
      </w:r>
      <w:r>
        <w:t xml:space="preserve"> </w:t>
      </w:r>
      <w:r>
        <w:t xml:space="preserve">Garcia (2021, p. 220)</w:t>
      </w:r>
      <w:r>
        <w:t xml:space="preserve">, illustrates the end of a random walk for two parameters in a regression model,</w:t>
      </w:r>
      <w:r>
        <w:t xml:space="preserve"> </w:t>
      </w:r>
      <m:oMath>
        <m:sSub>
          <m:e>
            <m:acc>
              <m:accPr>
                <m:chr m:val="̂"/>
              </m:accPr>
              <m:e>
                <m:r>
                  <m:t>β</m:t>
                </m:r>
              </m:e>
            </m:acc>
          </m:e>
          <m:sub>
            <m:r>
              <m:t>0</m:t>
            </m:r>
          </m:sub>
        </m:sSub>
      </m:oMath>
      <w:r>
        <w:t xml:space="preserve"> </w:t>
      </w:r>
      <w:r>
        <w:t xml:space="preserve">and</w:t>
      </w:r>
      <w:r>
        <w:t xml:space="preserve"> </w:t>
      </w:r>
      <m:oMath>
        <m:acc>
          <m:accPr>
            <m:chr m:val="̂"/>
          </m:accPr>
          <m:e>
            <m:r>
              <m:t>β</m:t>
            </m:r>
          </m:e>
        </m:acc>
      </m:oMath>
      <w:r>
        <w:t xml:space="preserve">, which results in a joint posterior distribution where the most visited values for both parameters in question are at the peak of the distribution.</w:t>
      </w:r>
    </w:p>
    <w:tbl>
      <w:tblPr>
        <w:tblStyle w:val="Table"/>
        <w:tblW w:type="pct" w:w="5000"/>
        <w:tblLayout w:type="fixed"/>
        <w:tblLook w:firstRow="0" w:lastRow="0" w:firstColumn="0" w:lastColumn="0" w:noHBand="0" w:noVBand="0" w:val="0000"/>
      </w:tblPr>
      <w:tblGrid>
        <w:gridCol w:w="7920"/>
      </w:tblGrid>
      <w:tr>
        <w:tc>
          <w:tcPr/>
          <w:bookmarkStart w:id="32" w:name="fig-3d"/>
          <w:p>
            <w:pPr>
              <w:pStyle w:val="Compact"/>
              <w:jc w:val="center"/>
            </w:pPr>
            <w:r>
              <w:drawing>
                <wp:inline>
                  <wp:extent cx="2971800" cy="1750315"/>
                  <wp:effectExtent b="0" l="0" r="0" t="0"/>
                  <wp:docPr descr="" title="" id="30" name="Picture"/>
                  <a:graphic>
                    <a:graphicData uri="http://schemas.openxmlformats.org/drawingml/2006/picture">
                      <pic:pic>
                        <pic:nvPicPr>
                          <pic:cNvPr descr="figures/3d.png" id="31" name="Picture"/>
                          <pic:cNvPicPr>
                            <a:picLocks noChangeArrowheads="1" noChangeAspect="1"/>
                          </pic:cNvPicPr>
                        </pic:nvPicPr>
                        <pic:blipFill>
                          <a:blip r:embed="rId29"/>
                          <a:stretch>
                            <a:fillRect/>
                          </a:stretch>
                        </pic:blipFill>
                        <pic:spPr bwMode="auto">
                          <a:xfrm>
                            <a:off x="0" y="0"/>
                            <a:ext cx="2971800" cy="1750315"/>
                          </a:xfrm>
                          <a:prstGeom prst="rect">
                            <a:avLst/>
                          </a:prstGeom>
                          <a:noFill/>
                          <a:ln w="9525">
                            <a:noFill/>
                            <a:headEnd/>
                            <a:tailEnd/>
                          </a:ln>
                        </pic:spPr>
                      </pic:pic>
                    </a:graphicData>
                  </a:graphic>
                </wp:inline>
              </w:drawing>
            </w:r>
          </w:p>
          <w:p>
            <w:pPr>
              <w:jc w:val="center"/>
            </w:pPr>
            <w:pPr>
              <w:jc w:val="left"/>
              <w:spacing w:before="200"/>
              <w:pStyle w:val="ImageCaption"/>
            </w:pPr>
            <w:r>
              <w:t xml:space="preserve">Figure 3: Illustrative example of the joint posterior distribution of two parameters in a regression model</w:t>
            </w:r>
          </w:p>
          <w:bookmarkEnd w:id="32"/>
        </w:tc>
      </w:tr>
    </w:tbl>
    <w:p>
      <w:pPr>
        <w:pStyle w:val="BodyText"/>
      </w:pPr>
      <w:r>
        <w:t xml:space="preserve">You may be wondering how we can know that the model has correctly converged onto the right parameter space, i.e., the right parameter values given the data. Our algorithms use multiple</w:t>
      </w:r>
      <w:r>
        <w:t xml:space="preserve"> </w:t>
      </w:r>
      <w:r>
        <w:rPr>
          <w:i/>
          <w:iCs/>
        </w:rPr>
        <w:t xml:space="preserve">chains</w:t>
      </w:r>
      <w:r>
        <w:t xml:space="preserve"> </w:t>
      </w:r>
      <w:r>
        <w:t xml:space="preserve">to explore said space. If all chains (typically four) converge by the end of the sampling, we know the model has converged. We can check this convergence in different ways. For example, we could visually inspect the chains to see if they have clustered in a particular region.</w:t>
      </w:r>
    </w:p>
    <w:p>
      <w:pPr>
        <w:pStyle w:val="BodyText"/>
      </w:pPr>
      <w:r>
        <w:t xml:space="preserve">In this paper, we will use an intuitive R package to run our models, so you do not have to worry about learning the specifics of Stan to be able to run and interpret Bayesian models. Interestingly, on the surface, our models will look quite similar to their Frequentist counterparts. Deep down, however, they work in very different ways, and their interpretation is much more intuitive than what we are used to in Frequentist models. First,</w:t>
      </w:r>
      <w:r>
        <w:t xml:space="preserve"> </w:t>
      </w:r>
      <w:r>
        <w:rPr>
          <w:i/>
          <w:iCs/>
        </w:rPr>
        <w:t xml:space="preserve">p</w:t>
      </w:r>
      <w:r>
        <w:t xml:space="preserve">-values no longer exist. Second, effects are not given as point-estimates. Rather, they are entire probability distributions of credible effects given the data, which substantially affects how we interpret and visualize our models’ results, as we will see later.</w:t>
      </w:r>
    </w:p>
    <w:bookmarkStart w:id="34" w:name="sec-estimation"/>
    <w:p>
      <w:pPr>
        <w:pStyle w:val="Heading3"/>
      </w:pPr>
      <w:r>
        <w:t xml:space="preserve">Hypothesis testing and parameter estimation</w:t>
      </w:r>
    </w:p>
    <w:p>
      <w:pPr>
        <w:pStyle w:val="FirstParagraph"/>
      </w:pPr>
      <w:r>
        <w:t xml:space="preserve">As previously mentioned, our main goal here is to estimate effect sizes in multiple comparisons. To do that, we will focus on</w:t>
      </w:r>
      <w:r>
        <w:t xml:space="preserve"> </w:t>
      </w:r>
      <w:r>
        <w:rPr>
          <w:i/>
          <w:iCs/>
        </w:rPr>
        <w:t xml:space="preserve">credible intervals</w:t>
      </w:r>
      <w:r>
        <w:t xml:space="preserve">, which are illustrated and discussed in the Bayesian model examined in</w:t>
      </w:r>
      <w:r>
        <w:t xml:space="preserve"> </w:t>
      </w:r>
      <w:hyperlink w:anchor="sec-analysis">
        <w:r>
          <w:rPr>
            <w:rStyle w:val="Hyperlink"/>
          </w:rPr>
          <w:t xml:space="preserve">Section 4</w:t>
        </w:r>
      </w:hyperlink>
      <w:r>
        <w:t xml:space="preserve"> </w:t>
      </w:r>
      <w:r>
        <w:t xml:space="preserve">below. One specific type of credible interval we can use is the</w:t>
      </w:r>
      <w:r>
        <w:t xml:space="preserve"> </w:t>
      </w:r>
      <w:r>
        <w:rPr>
          <w:i/>
          <w:iCs/>
        </w:rPr>
        <w:t xml:space="preserve">highest density interval</w:t>
      </w:r>
      <w:r>
        <w:t xml:space="preserve"> </w:t>
      </w:r>
      <w:r>
        <w:t xml:space="preserve">(HDI), which gives us a particular percentage of the most probable parameter values given the data. Simply put, values inside such an interval are more likely than values outside of it—this is a much more intuitive interpretation than Frequentist confidence intervals. When we focus our analysis on parameter estimation, we are merely asking the question:</w:t>
      </w:r>
      <w:r>
        <w:t xml:space="preserve"> </w:t>
      </w:r>
      <w:r>
        <w:rPr>
          <w:i/>
          <w:iCs/>
        </w:rPr>
        <w:t xml:space="preserve">what are the most likely values for our parameters given the data (and our priors)?</w:t>
      </w:r>
    </w:p>
    <w:p>
      <w:pPr>
        <w:pStyle w:val="BodyText"/>
      </w:pPr>
      <w:r>
        <w:t xml:space="preserve"> </w:t>
      </w:r>
      <w:r>
        <w:t xml:space="preserve">Credible intervals allow us to answer the question above, but they should not be used as our main metric to confirm or reject the existence of an effect, since the null model (one that does not include the variable(s) of interest) is not under evaluation (see, e.g.,</w:t>
      </w:r>
      <w:r>
        <w:t xml:space="preserve"> </w:t>
      </w:r>
      <w:r>
        <w:t xml:space="preserve">Veríssimo (2024)</w:t>
      </w:r>
      <w:r>
        <w:t xml:space="preserve">). This brings us to the secondary dimension of our analysis here, namely, the notion of hypothesis testing. A Bayesian model that includes</w:t>
      </w:r>
      <w:r>
        <w:t xml:space="preserve"> </w:t>
      </w:r>
      <w:r>
        <w:rPr>
          <w:rStyle w:val="VerbatimChar"/>
        </w:rPr>
        <w:t xml:space="preserve">cond</w:t>
      </w:r>
      <w:r>
        <w:t xml:space="preserve"> </w:t>
      </w:r>
      <w:r>
        <w:t xml:space="preserve">as a predictor describes an alternative hypothesis according to which we believe that the variable</w:t>
      </w:r>
      <w:r>
        <w:t xml:space="preserve"> </w:t>
      </w:r>
      <w:r>
        <w:rPr>
          <w:rStyle w:val="VerbatimChar"/>
        </w:rPr>
        <w:t xml:space="preserve">cond</w:t>
      </w:r>
      <w:r>
        <w:t xml:space="preserve"> </w:t>
      </w:r>
      <w:r>
        <w:t xml:space="preserve">has an effect. As we run such a model and inspect its credible intervals, nothing is directly revealed about the null model, i.e., the model</w:t>
      </w:r>
      <w:r>
        <w:t xml:space="preserve"> </w:t>
      </w:r>
      <w:r>
        <w:rPr>
          <w:i/>
          <w:iCs/>
        </w:rPr>
        <w:t xml:space="preserve">without</w:t>
      </w:r>
      <w:r>
        <w:t xml:space="preserve"> </w:t>
      </w:r>
      <w:r>
        <w:rPr>
          <w:rStyle w:val="VerbatimChar"/>
        </w:rPr>
        <w:t xml:space="preserve">cond</w:t>
      </w:r>
      <w:r>
        <w:t xml:space="preserve"> </w:t>
      </w:r>
      <w:r>
        <w:t xml:space="preserve">as a predictor, since that model is not being evaluated. Note that this is different from what we can conclude from confidence intervals in Frequentist models, where, if zero is not contained inside an interval, we can indeed reject the null hypothesis.</w:t>
      </w:r>
    </w:p>
    <w:p>
      <w:pPr>
        <w:pStyle w:val="BodyText"/>
      </w:pPr>
      <w:r>
        <w:t xml:space="preserve">The topic of hypothesis testing in Bayesian statistics often involves the use of</w:t>
      </w:r>
      <w:r>
        <w:t xml:space="preserve"> </w:t>
      </w:r>
      <w:r>
        <w:rPr>
          <w:i/>
          <w:iCs/>
        </w:rPr>
        <w:t xml:space="preserve">Bayes Factors</w:t>
      </w:r>
      <w:r>
        <w:t xml:space="preserve">. A Bayes Factor is a ratio used to quantify the evidence for a particular hypothesis relative to another hypothesis (or multiple hypotheses). In our scenario, we could run a null model (</w:t>
      </w:r>
      <w:r>
        <w:rPr>
          <w:rStyle w:val="VerbatimChar"/>
        </w:rPr>
        <w:t xml:space="preserve">bFitNull</w:t>
      </w:r>
      <w:r>
        <w:t xml:space="preserve">; intercept-only) and calculate the Bayes Factor of a model containing</w:t>
      </w:r>
      <w:r>
        <w:t xml:space="preserve"> </w:t>
      </w:r>
      <w:r>
        <w:rPr>
          <w:rStyle w:val="VerbatimChar"/>
        </w:rPr>
        <w:t xml:space="preserve">cond</w:t>
      </w:r>
      <w:r>
        <w:t xml:space="preserve"> </w:t>
      </w:r>
      <w:r>
        <w:t xml:space="preserve">(</w:t>
      </w:r>
      <w:r>
        <w:rPr>
          <w:rStyle w:val="VerbatimChar"/>
        </w:rPr>
        <w:t xml:space="preserve">bFit1</w:t>
      </w:r>
      <w:r>
        <w:t xml:space="preserve">) relative to said null model. This is shown in</w:t>
      </w:r>
      <w:r>
        <w:t xml:space="preserve"> </w:t>
      </w:r>
      <w:hyperlink w:anchor="eq-bf">
        <w:r>
          <w:rPr>
            <w:rStyle w:val="Hyperlink"/>
          </w:rPr>
          <w:t xml:space="preserve">Equation 2</w:t>
        </w:r>
      </w:hyperlink>
      <w:r>
        <w:t xml:space="preserve">.</w:t>
      </w:r>
    </w:p>
    <w:p>
      <w:pPr>
        <w:pStyle w:val="BodyText"/>
      </w:pPr>
      <w:bookmarkStart w:id="33" w:name="eq-bf"/>
      <m:oMathPara>
        <m:oMathParaPr>
          <m:jc m:val="center"/>
        </m:oMathParaPr>
        <m:oMath>
          <m:r>
            <m:t>B</m:t>
          </m:r>
          <m:sSub>
            <m:e>
              <m:r>
                <m:t>F</m:t>
              </m:r>
            </m:e>
            <m:sub>
              <m:r>
                <m:t>10</m:t>
              </m:r>
            </m:sub>
          </m:sSub>
          <m:r>
            <m:rPr>
              <m:sty m:val="p"/>
            </m:rPr>
            <m:t>=</m:t>
          </m:r>
          <m:f>
            <m:fPr>
              <m:type m:val="bar"/>
            </m:fPr>
            <m:num>
              <m:r>
                <m:t>P</m:t>
              </m:r>
              <m:r>
                <m:rPr>
                  <m:sty m:val="p"/>
                </m:rPr>
                <m:t>(</m:t>
              </m:r>
              <m:r>
                <m:t>d</m:t>
              </m:r>
              <m:r>
                <m:t>a</m:t>
              </m:r>
              <m:r>
                <m:t>t</m:t>
              </m:r>
              <m:r>
                <m:t>a</m:t>
              </m:r>
              <m:r>
                <m:rPr>
                  <m:sty m:val="p"/>
                </m:rPr>
                <m:t>|</m:t>
              </m:r>
              <m:sSub>
                <m:e>
                  <m:r>
                    <m:t>H</m:t>
                  </m:r>
                </m:e>
                <m:sub>
                  <m:r>
                    <m:t>1</m:t>
                  </m:r>
                </m:sub>
              </m:sSub>
              <m:r>
                <m:rPr>
                  <m:sty m:val="p"/>
                </m:rPr>
                <m:t>)</m:t>
              </m:r>
            </m:num>
            <m:den>
              <m:r>
                <m:t>P</m:t>
              </m:r>
              <m:r>
                <m:rPr>
                  <m:sty m:val="p"/>
                </m:rPr>
                <m:t>(</m:t>
              </m:r>
              <m:r>
                <m:t>d</m:t>
              </m:r>
              <m:r>
                <m:t>a</m:t>
              </m:r>
              <m:r>
                <m:t>t</m:t>
              </m:r>
              <m:r>
                <m:t>a</m:t>
              </m:r>
              <m:r>
                <m:rPr>
                  <m:sty m:val="p"/>
                </m:rPr>
                <m:t>|</m:t>
              </m:r>
              <m:sSub>
                <m:e>
                  <m:r>
                    <m:t>H</m:t>
                  </m:r>
                </m:e>
                <m:sub>
                  <m:r>
                    <m:t>0</m:t>
                  </m:r>
                </m:sub>
              </m:sSub>
              <m:r>
                <m:rPr>
                  <m:sty m:val="p"/>
                </m:rPr>
                <m:t>)</m:t>
              </m:r>
            </m:den>
          </m:f>
          <m:r>
            <m:t>  </m:t>
          </m:r>
          <m:r>
            <m:rPr>
              <m:sty m:val="p"/>
            </m:rPr>
            <m:t>(</m:t>
          </m:r>
          <m:r>
            <m:t>2</m:t>
          </m:r>
          <m:r>
            <m:rPr>
              <m:sty m:val="p"/>
            </m:rPr>
            <m:t>)</m:t>
          </m:r>
        </m:oMath>
      </m:oMathPara>
      <w:bookmarkEnd w:id="33"/>
    </w:p>
    <w:p>
      <w:pPr>
        <w:pStyle w:val="FirstParagraph"/>
      </w:pPr>
      <w:r>
        <w:t xml:space="preserve">A Bayes Factor greater than 1 indicates evidence in favor of</w:t>
      </w:r>
      <w:r>
        <w:t xml:space="preserve"> </w:t>
      </w:r>
      <w:r>
        <w:rPr>
          <w:rStyle w:val="VerbatimChar"/>
        </w:rPr>
        <w:t xml:space="preserve">bFit1</w:t>
      </w:r>
      <w:r>
        <w:t xml:space="preserve"> </w:t>
      </w:r>
      <w:r>
        <w:t xml:space="preserve">(our alternative model). A Bayes Factor less than 1 indicates evidence in favor of</w:t>
      </w:r>
      <w:r>
        <w:t xml:space="preserve"> </w:t>
      </w:r>
      <w:r>
        <w:rPr>
          <w:rStyle w:val="VerbatimChar"/>
        </w:rPr>
        <w:t xml:space="preserve">bFitNull</w:t>
      </w:r>
      <w:r>
        <w:t xml:space="preserve"> </w:t>
      </w:r>
      <w:r>
        <w:t xml:space="preserve">(our null model). A Bayes Factor of exactly 1 provides no evidence for either hypothesis. Although Bayes Factors can also be used to quantify evidence in Bayesian analyses, I favor ROPE-based interpretations due to their direct focus on practical equivalence rather than relative model probabilities. Readers interested in this distinction will benefit from the appendix provided in</w:t>
      </w:r>
      <w:r>
        <w:t xml:space="preserve"> </w:t>
      </w:r>
      <w:r>
        <w:t xml:space="preserve">Kruschke (2013)</w:t>
      </w:r>
      <w:r>
        <w:t xml:space="preserve">, where the author discusses the shortcomings of Bayes Factors (p. 602), noting that they can sometimes obscure crucial information about parameter uncertainty. A detailed and user-friendly discussion on estimation and hypothesis testing is also provided in</w:t>
      </w:r>
      <w:r>
        <w:t xml:space="preserve"> </w:t>
      </w:r>
      <w:r>
        <w:t xml:space="preserve">Veríssimo (2024, pp. 12–15)</w:t>
      </w:r>
      <w:r>
        <w:t xml:space="preserve">. While this paper does not use Bayes Factors, it is certainly an important topic to those who wish to test hypotheses in a Bayesian framework.</w:t>
      </w:r>
    </w:p>
    <w:p>
      <w:pPr>
        <w:pStyle w:val="BodyText"/>
      </w:pPr>
      <w:r>
        <w:t xml:space="preserve">Another method of exploring hypothesis testing in Bayesian models involves the definition of a region of practical equivalence (ROPE). In a nutshell, we calculate an area around zero, and if most or all of our HDI of interest falls within that area, we conclude that we have sufficient evidence for a null effect (i.e., we reject the alternative and accept the null). Conversely, if the entire HDI falls outside the ROPE, we reject the null. In the remainder of this paper, we will make use of ROPEs as we interpret the results of our estimates and the multiple comparisons derived from them. ROPEs will be favored because they can be easily generated and incorporated into our figure as we estimate parameters and the uncertainty around them, our primary goal here as we approach multiple comparisons. By including ROPEs in our analysis, we will also have a small component of hypothesis testing, i.e., we will potentially be able to accept/reject a null effect if that scenario arises.</w:t>
      </w:r>
    </w:p>
    <w:p>
      <w:pPr>
        <w:pStyle w:val="BodyText"/>
      </w:pPr>
      <w:r>
        <w:t xml:space="preserve">Next, we will see the notions discussed above in action, as we run and analyze our model. In summary, we will use highest density intervals (HDI) to estimate the most credible values of our parameters (our primary goal), and we will also use a region of practical equivalence (ROPE) to quantify the evidence for the effect of</w:t>
      </w:r>
      <w:r>
        <w:t xml:space="preserve"> </w:t>
      </w:r>
      <w:r>
        <w:rPr>
          <w:rStyle w:val="VerbatimChar"/>
        </w:rPr>
        <w:t xml:space="preserve">cond</w:t>
      </w:r>
      <w:r>
        <w:t xml:space="preserve"> </w:t>
      </w:r>
      <w:r>
        <w:t xml:space="preserve">(our secondary goal).</w:t>
      </w:r>
    </w:p>
    <w:bookmarkEnd w:id="34"/>
    <w:bookmarkEnd w:id="35"/>
    <w:bookmarkStart w:id="37" w:name="sec-datapackages"/>
    <w:p>
      <w:pPr>
        <w:pStyle w:val="Heading2"/>
      </w:pPr>
      <w:r>
        <w:t xml:space="preserve">Data and packages</w:t>
      </w:r>
    </w:p>
    <w:p>
      <w:pPr>
        <w:pStyle w:val="FirstParagraph"/>
      </w:pPr>
      <w:r>
        <w:t xml:space="preserve">In</w:t>
      </w:r>
      <w:r>
        <w:t xml:space="preserve"> </w:t>
      </w:r>
      <w:hyperlink w:anchor="lst-code3">
        <w:r>
          <w:rPr>
            <w:rStyle w:val="Hyperlink"/>
          </w:rPr>
          <w:t xml:space="preserve">Listing 4</w:t>
        </w:r>
      </w:hyperlink>
      <w:r>
        <w:t xml:space="preserve">, you will find the data file as well as the necessary packages to reproduce the analysis in the paper. You will all the packages below before proceeding. The package</w:t>
      </w:r>
      <w:r>
        <w:t xml:space="preserve"> </w:t>
      </w:r>
      <w:r>
        <w:rPr>
          <w:rStyle w:val="VerbatimChar"/>
        </w:rPr>
        <w:t xml:space="preserve">brms</w:t>
      </w:r>
      <w:r>
        <w:t xml:space="preserve"> </w:t>
      </w:r>
      <w:r>
        <w:t xml:space="preserve">(Bürkner, 2016)</w:t>
      </w:r>
      <w:r>
        <w:t xml:space="preserve"> </w:t>
      </w:r>
      <w:r>
        <w:t xml:space="preserve">allows us to run Bayesian models by using the familiar syntax from functions such as</w:t>
      </w:r>
      <w:r>
        <w:t xml:space="preserve"> </w:t>
      </w:r>
      <w:r>
        <w:rPr>
          <w:rStyle w:val="VerbatimChar"/>
        </w:rPr>
        <w:t xml:space="preserve">lm()</w:t>
      </w:r>
      <w:r>
        <w:t xml:space="preserve"> </w:t>
      </w:r>
      <w:r>
        <w:t xml:space="preserve">and</w:t>
      </w:r>
      <w:r>
        <w:t xml:space="preserve"> </w:t>
      </w:r>
      <w:r>
        <w:rPr>
          <w:rStyle w:val="VerbatimChar"/>
        </w:rPr>
        <w:t xml:space="preserve">glm()</w:t>
      </w:r>
      <w:r>
        <w:t xml:space="preserve">. Finally,</w:t>
      </w:r>
      <w:r>
        <w:t xml:space="preserve"> </w:t>
      </w:r>
      <w:r>
        <w:rPr>
          <w:rStyle w:val="VerbatimChar"/>
        </w:rPr>
        <w:t xml:space="preserve">tidybayes</w:t>
      </w:r>
      <w:r>
        <w:t xml:space="preserve"> </w:t>
      </w:r>
      <w:r>
        <w:t xml:space="preserve">(Kay, 2020)</w:t>
      </w:r>
      <w:r>
        <w:t xml:space="preserve"> </w:t>
      </w:r>
      <w:r>
        <w:t xml:space="preserve">and</w:t>
      </w:r>
      <w:r>
        <w:t xml:space="preserve"> </w:t>
      </w:r>
      <w:r>
        <w:rPr>
          <w:rStyle w:val="VerbatimChar"/>
        </w:rPr>
        <w:t xml:space="preserve">bayestestR</w:t>
      </w:r>
      <w:r>
        <w:t xml:space="preserve"> </w:t>
      </w:r>
      <w:r>
        <w:t xml:space="preserve">(Makowski et al., 2019)</w:t>
      </w:r>
      <w:r>
        <w:t xml:space="preserve"> </w:t>
      </w:r>
      <w:r>
        <w:t xml:space="preserve">will help us work with posterior samples.</w:t>
      </w:r>
    </w:p>
    <w:tbl>
      <w:tblPr>
        <w:tblStyle w:val="Table"/>
        <w:tblW w:type="pct" w:w="5000"/>
        <w:tblLayout w:type="fixed"/>
        <w:tblLook w:firstRow="0" w:lastRow="0" w:firstColumn="0" w:lastColumn="0" w:noHBand="0" w:noVBand="0" w:val="0000"/>
      </w:tblPr>
      <w:tblGrid>
        <w:gridCol w:w="7920"/>
      </w:tblGrid>
      <w:tr>
        <w:tc>
          <w:tcPr/>
          <w:bookmarkStart w:id="36" w:name="lst-code3"/>
          <w:p>
            <w:pPr>
              <w:jc w:val="center"/>
            </w:pPr>
            <w:pPr>
              <w:jc w:val="left"/>
              <w:spacing w:before="200"/>
              <w:pStyle w:val="ImageCaption"/>
            </w:pPr>
            <w:r>
              <w:t xml:space="preserve">Listing 4: Packages used in the paper.</w:t>
            </w:r>
          </w:p>
          <w:p>
            <w:pPr>
              <w:pStyle w:val="SourceCode"/>
              <w:jc w:val="center"/>
            </w:pPr>
            <w:r>
              <w:rPr>
                <w:rStyle w:val="CommentTok"/>
              </w:rPr>
              <w:t xml:space="preserve"># In addition to the packages already loaded:</w:t>
            </w:r>
            <w:r>
              <w:br/>
            </w:r>
            <w:r>
              <w:rPr>
                <w:rStyle w:val="FunctionTok"/>
              </w:rPr>
              <w:t xml:space="preserve">library</w:t>
            </w:r>
            <w:r>
              <w:rPr>
                <w:rStyle w:val="NormalTok"/>
              </w:rPr>
              <w:t xml:space="preserve">(tidyverse)</w:t>
            </w:r>
            <w:r>
              <w:br/>
            </w:r>
            <w:r>
              <w:rPr>
                <w:rStyle w:val="FunctionTok"/>
              </w:rPr>
              <w:t xml:space="preserve">library</w:t>
            </w:r>
            <w:r>
              <w:rPr>
                <w:rStyle w:val="NormalTok"/>
              </w:rPr>
              <w:t xml:space="preserve">(brms)</w:t>
            </w:r>
            <w:r>
              <w:br/>
            </w:r>
            <w:r>
              <w:rPr>
                <w:rStyle w:val="FunctionTok"/>
              </w:rPr>
              <w:t xml:space="preserve">library</w:t>
            </w:r>
            <w:r>
              <w:rPr>
                <w:rStyle w:val="NormalTok"/>
              </w:rPr>
              <w:t xml:space="preserve">(tidybayes)</w:t>
            </w:r>
            <w:r>
              <w:br/>
            </w:r>
            <w:r>
              <w:rPr>
                <w:rStyle w:val="FunctionTok"/>
              </w:rPr>
              <w:t xml:space="preserve">library</w:t>
            </w:r>
            <w:r>
              <w:rPr>
                <w:rStyle w:val="NormalTok"/>
              </w:rPr>
              <w:t xml:space="preserve">(bayestestR)</w:t>
            </w:r>
          </w:p>
          <w:bookmarkEnd w:id="36"/>
        </w:tc>
      </w:tr>
    </w:tbl>
    <w:bookmarkEnd w:id="37"/>
    <w:bookmarkEnd w:id="38"/>
    <w:bookmarkStart w:id="81" w:name="sec-analysis"/>
    <w:p>
      <w:pPr>
        <w:pStyle w:val="Heading1"/>
      </w:pPr>
      <w:r>
        <w:t xml:space="preserve">Analysis</w:t>
      </w:r>
    </w:p>
    <w:bookmarkStart w:id="52" w:name="sec-models"/>
    <w:p>
      <w:pPr>
        <w:pStyle w:val="Heading2"/>
      </w:pPr>
      <w:r>
        <w:t xml:space="preserve">Statistical model</w:t>
      </w:r>
    </w:p>
    <w:p>
      <w:pPr>
        <w:pStyle w:val="FirstParagraph"/>
      </w:pPr>
      <w:r>
        <w:t xml:space="preserve">In this subsection, we will run our hierarchical Bayesian model, which will have a single fixed predictor (</w:t>
      </w:r>
      <w:r>
        <w:rPr>
          <w:rStyle w:val="VerbatimChar"/>
        </w:rPr>
        <w:t xml:space="preserve">cond</w:t>
      </w:r>
      <w:r>
        <w:t xml:space="preserve">). I will assume that you have never run a Bayesian model or used the</w:t>
      </w:r>
      <w:r>
        <w:t xml:space="preserve"> </w:t>
      </w:r>
      <w:r>
        <w:rPr>
          <w:rStyle w:val="VerbatimChar"/>
        </w:rPr>
        <w:t xml:space="preserve">brms</w:t>
      </w:r>
      <w:r>
        <w:t xml:space="preserve"> </w:t>
      </w:r>
      <w:r>
        <w:t xml:space="preserve">package. While specific details of our models are outside the scope of this paper, I will attempt to provide all the necessary information to reproduce and apply these methods to your own data. In the next subsection, we will work on our multiple comparisons based on the model</w:t>
      </w:r>
      <w:r>
        <w:t xml:space="preserve"> </w:t>
      </w:r>
      <w:r>
        <w:rPr>
          <w:rStyle w:val="VerbatimChar"/>
        </w:rPr>
        <w:t xml:space="preserve">bFit1</w:t>
      </w:r>
      <w:r>
        <w:t xml:space="preserve"> </w:t>
      </w:r>
      <w:r>
        <w:t xml:space="preserve">that we run and discuss below.</w:t>
      </w:r>
    </w:p>
    <w:p>
      <w:pPr>
        <w:pStyle w:val="BodyText"/>
      </w:pPr>
      <w:r>
        <w:t xml:space="preserve">In</w:t>
      </w:r>
      <w:r>
        <w:t xml:space="preserve"> </w:t>
      </w:r>
      <w:hyperlink w:anchor="lst-bFit1">
        <w:r>
          <w:rPr>
            <w:rStyle w:val="Hyperlink"/>
          </w:rPr>
          <w:t xml:space="preserve">Listing 5</w:t>
        </w:r>
      </w:hyperlink>
      <w:r>
        <w:t xml:space="preserve">, we define our model as</w:t>
      </w:r>
      <w:r>
        <w:t xml:space="preserve"> </w:t>
      </w:r>
      <w:r>
        <w:rPr>
          <w:rStyle w:val="VerbatimChar"/>
        </w:rPr>
        <w:t xml:space="preserve">resp ~ cond</w:t>
      </w:r>
      <w:r>
        <w:t xml:space="preserve"> </w:t>
      </w:r>
      <w:r>
        <w:t xml:space="preserve">using the same familiar syntax from the</w:t>
      </w:r>
      <w:r>
        <w:t xml:space="preserve"> </w:t>
      </w:r>
      <w:r>
        <w:rPr>
          <w:rStyle w:val="VerbatimChar"/>
        </w:rPr>
        <w:t xml:space="preserve">lm()</w:t>
      </w:r>
      <w:r>
        <w:t xml:space="preserve"> </w:t>
      </w:r>
      <w:r>
        <w:t xml:space="preserve">function. Notice that this is the most complex model thus far, as it includes random slopes for</w:t>
      </w:r>
      <w:r>
        <w:t xml:space="preserve"> </w:t>
      </w:r>
      <w:r>
        <w:rPr>
          <w:rStyle w:val="VerbatimChar"/>
        </w:rPr>
        <w:t xml:space="preserve">cond</w:t>
      </w:r>
      <w:r>
        <w:t xml:space="preserve"> </w:t>
      </w:r>
      <w:r>
        <w:t xml:space="preserve">by participant—this model specification yields a singular fit using a Frequentist approach with</w:t>
      </w:r>
      <w:r>
        <w:t xml:space="preserve"> </w:t>
      </w:r>
      <w:r>
        <w:rPr>
          <w:rStyle w:val="VerbatimChar"/>
        </w:rPr>
        <w:t xml:space="preserve">lmer()</w:t>
      </w:r>
      <w:r>
        <w:t xml:space="preserve">. Because we are running a linear regression, we assume that the response variable is normally distributed, hence</w:t>
      </w:r>
      <w:r>
        <w:t xml:space="preserve"> </w:t>
      </w:r>
      <w:r>
        <w:rPr>
          <w:rStyle w:val="VerbatimChar"/>
        </w:rPr>
        <w:t xml:space="preserve">family = gaussian()</w:t>
      </w:r>
      <w:r>
        <w:t xml:space="preserve"> </w:t>
      </w:r>
      <w:r>
        <w:t xml:space="preserve">in the code. We could also use another family value if we wanted to better accommodate outliers. For example, we could specify</w:t>
      </w:r>
      <w:r>
        <w:t xml:space="preserve"> </w:t>
      </w:r>
      <w:r>
        <w:rPr>
          <w:rStyle w:val="VerbatimChar"/>
        </w:rPr>
        <w:t xml:space="preserve">family = student()</w:t>
      </w:r>
      <w:r>
        <w:t xml:space="preserve">, which would assume a student</w:t>
      </w:r>
      <w:r>
        <w:t xml:space="preserve"> </w:t>
      </w:r>
      <m:oMath>
        <m:r>
          <m:t>t</m:t>
        </m:r>
      </m:oMath>
      <w:r>
        <w:t xml:space="preserve"> </w:t>
      </w:r>
      <w:r>
        <w:t xml:space="preserve">distribution for our response variable</w:t>
      </w:r>
      <w:r>
        <w:t xml:space="preserve"> </w:t>
      </w:r>
      <w:r>
        <w:rPr>
          <w:rStyle w:val="VerbatimChar"/>
        </w:rPr>
        <w:t xml:space="preserve">resp</w:t>
      </w:r>
      <w:r>
        <w:t xml:space="preserve">. This can be useful in situations where we have smaller sample sizes (higher uncertainty) and/or potential outliers.</w:t>
      </w:r>
    </w:p>
    <w:p>
      <w:pPr>
        <w:pStyle w:val="BodyText"/>
      </w:pPr>
      <w:r>
        <w:t xml:space="preserve">By default, our model will use four chains to sample from the posterior. To speed up the process, we can use four processing cores. The argument</w:t>
      </w:r>
      <w:r>
        <w:t xml:space="preserve"> </w:t>
      </w:r>
      <w:r>
        <w:rPr>
          <w:rStyle w:val="VerbatimChar"/>
        </w:rPr>
        <w:t xml:space="preserve">save_pars</w:t>
      </w:r>
      <w:r>
        <w:t xml:space="preserve"> </w:t>
      </w:r>
      <w:r>
        <w:t xml:space="preserve">is necessary if the reader wishes to calculate the Bayes Factor later on using the</w:t>
      </w:r>
      <w:r>
        <w:t xml:space="preserve"> </w:t>
      </w:r>
      <w:r>
        <w:rPr>
          <w:rStyle w:val="VerbatimChar"/>
        </w:rPr>
        <w:t xml:space="preserve">bayes_factor()</w:t>
      </w:r>
      <w:r>
        <w:t xml:space="preserve"> </w:t>
      </w:r>
      <w:r>
        <w:t xml:space="preserve">function in</w:t>
      </w:r>
      <w:r>
        <w:t xml:space="preserve"> </w:t>
      </w:r>
      <w:r>
        <w:rPr>
          <w:rStyle w:val="VerbatimChar"/>
        </w:rPr>
        <w:t xml:space="preserve">brms</w:t>
      </w:r>
      <w:r>
        <w:t xml:space="preserve">. If that is the case, a null model is also needed: that is why</w:t>
      </w:r>
      <w:r>
        <w:t xml:space="preserve"> </w:t>
      </w:r>
      <w:r>
        <w:rPr>
          <w:rStyle w:val="VerbatimChar"/>
        </w:rPr>
        <w:t xml:space="preserve">bFitNull</w:t>
      </w:r>
      <w:r>
        <w:t xml:space="preserve"> </w:t>
      </w:r>
      <w:r>
        <w:t xml:space="preserve">is also present in the code. The reader can run both models and subsequently run</w:t>
      </w:r>
      <w:r>
        <w:t xml:space="preserve"> </w:t>
      </w:r>
      <w:r>
        <w:rPr>
          <w:rStyle w:val="VerbatimChar"/>
        </w:rPr>
        <w:t xml:space="preserve">bayes_factor(bFit1, bFitNull)</w:t>
      </w:r>
      <w:r>
        <w:t xml:space="preserve"> </w:t>
      </w:r>
      <w:r>
        <w:t xml:space="preserve">to confirm that the Bayes Factor will favor the alternative hypothesis, i.e., that</w:t>
      </w:r>
      <w:r>
        <w:t xml:space="preserve"> </w:t>
      </w:r>
      <w:r>
        <w:rPr>
          <w:rStyle w:val="VerbatimChar"/>
        </w:rPr>
        <w:t xml:space="preserve">cond</w:t>
      </w:r>
      <w:r>
        <w:t xml:space="preserve"> </w:t>
      </w:r>
      <w:r>
        <w:t xml:space="preserve">indeed has an effect on</w:t>
      </w:r>
      <w:r>
        <w:t xml:space="preserve"> </w:t>
      </w:r>
      <w:r>
        <w:rPr>
          <w:rStyle w:val="VerbatimChar"/>
        </w:rPr>
        <w:t xml:space="preserve">resp</w:t>
      </w:r>
      <w:r>
        <w:t xml:space="preserve">—the line is commented out in</w:t>
      </w:r>
      <w:r>
        <w:t xml:space="preserve"> </w:t>
      </w:r>
      <w:hyperlink w:anchor="lst-bFit1">
        <w:r>
          <w:rPr>
            <w:rStyle w:val="Hyperlink"/>
          </w:rPr>
          <w:t xml:space="preserve">Listing 5</w:t>
        </w:r>
      </w:hyperlink>
      <w:r>
        <w:t xml:space="preserve"> </w:t>
      </w:r>
      <w:r>
        <w:t xml:space="preserve">because we will not explore those results, as mentioned above. Finally, we set our priors (see below) and save the model (optionally) to have access to the compiled Stan code later. While this last step is not necessary, if you want to better understand the specifics of our model, it is useful to examine the raw Stan code later on.</w:t>
      </w:r>
    </w:p>
    <w:tbl>
      <w:tblPr>
        <w:tblStyle w:val="Table"/>
        <w:tblW w:type="pct" w:w="5000"/>
        <w:tblLayout w:type="fixed"/>
        <w:tblLook w:firstRow="0" w:lastRow="0" w:firstColumn="0" w:lastColumn="0" w:noHBand="0" w:noVBand="0" w:val="0000"/>
      </w:tblPr>
      <w:tblGrid>
        <w:gridCol w:w="7920"/>
      </w:tblGrid>
      <w:tr>
        <w:tc>
          <w:tcPr/>
          <w:bookmarkStart w:id="39" w:name="lst-bFit1"/>
          <w:p>
            <w:pPr>
              <w:jc w:val="center"/>
            </w:pPr>
            <w:pPr>
              <w:jc w:val="left"/>
              <w:spacing w:before="200"/>
              <w:pStyle w:val="ImageCaption"/>
            </w:pPr>
            <w:r>
              <w:t xml:space="preserve">Listing 5: A simple hierarchical linear regression using</w:t>
            </w:r>
            <w:r>
              <w:t xml:space="preserve"> </w:t>
            </w:r>
            <w:r>
              <w:rPr>
                <w:rStyle w:val="VerbatimChar"/>
              </w:rPr>
              <w:t xml:space="preserve">brms</w:t>
            </w:r>
            <w:r>
              <w:t xml:space="preserve">.</w:t>
            </w:r>
          </w:p>
          <w:p>
            <w:pPr>
              <w:pStyle w:val="SourceCode"/>
              <w:jc w:val="center"/>
            </w:pPr>
            <w:r>
              <w:rPr>
                <w:rStyle w:val="CommentTok"/>
              </w:rPr>
              <w:t xml:space="preserve"># Our model assumes that cond has an effect:</w:t>
            </w:r>
            <w:r>
              <w:br/>
            </w:r>
            <w:r>
              <w:rPr>
                <w:rStyle w:val="NormalTok"/>
              </w:rPr>
              <w:t xml:space="preserve">bFit1 </w:t>
            </w:r>
            <w:r>
              <w:rPr>
                <w:rStyle w:val="OtherTok"/>
              </w:rPr>
              <w:t xml:space="preserve">=</w:t>
            </w:r>
            <w:r>
              <w:rPr>
                <w:rStyle w:val="NormalTok"/>
              </w:rPr>
              <w:t xml:space="preserve"> </w:t>
            </w:r>
            <w:r>
              <w:rPr>
                <w:rStyle w:val="FunctionTok"/>
              </w:rPr>
              <w:t xml:space="preserve">brm</w:t>
            </w:r>
            <w:r>
              <w:rPr>
                <w:rStyle w:val="NormalTok"/>
              </w:rPr>
              <w:t xml:space="preserve">(resp </w:t>
            </w:r>
            <w:r>
              <w:rPr>
                <w:rStyle w:val="SpecialCharTok"/>
              </w:rPr>
              <w:t xml:space="preserve">~</w:t>
            </w:r>
            <w:r>
              <w:rPr>
                <w:rStyle w:val="NormalTok"/>
              </w:rPr>
              <w:t xml:space="preserve"> cond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cond </w:t>
            </w:r>
            <w:r>
              <w:rPr>
                <w:rStyle w:val="SpecialCharTok"/>
              </w:rPr>
              <w:t xml:space="preserve">|</w:t>
            </w:r>
            <w:r>
              <w:rPr>
                <w:rStyle w:val="NormalTok"/>
              </w:rPr>
              <w:t xml:space="preserve"> part)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item),</w:t>
            </w:r>
            <w:r>
              <w:br/>
            </w:r>
            <w:r>
              <w:rPr>
                <w:rStyle w:val="NormalTok"/>
              </w:rPr>
              <w:t xml:space="preserve">            </w:t>
            </w:r>
            <w:r>
              <w:rPr>
                <w:rStyle w:val="AttributeTok"/>
              </w:rPr>
              <w:t xml:space="preserve">data =</w:t>
            </w:r>
            <w:r>
              <w:rPr>
                <w:rStyle w:val="NormalTok"/>
              </w:rPr>
              <w:t xml:space="preserve"> d, </w:t>
            </w:r>
            <w:r>
              <w:br/>
            </w:r>
            <w:r>
              <w:rPr>
                <w:rStyle w:val="NormalTok"/>
              </w:rPr>
              <w:t xml:space="preserve">            </w:t>
            </w:r>
            <w:r>
              <w:rPr>
                <w:rStyle w:val="AttributeTok"/>
              </w:rPr>
              <w:t xml:space="preserve">family =</w:t>
            </w:r>
            <w:r>
              <w:rPr>
                <w:rStyle w:val="NormalTok"/>
              </w:rPr>
              <w:t xml:space="preserve"> </w:t>
            </w:r>
            <w:r>
              <w:rPr>
                <w:rStyle w:val="FunctionTok"/>
              </w:rPr>
              <w:t xml:space="preserve">gaussian</w:t>
            </w:r>
            <w:r>
              <w:rPr>
                <w:rStyle w:val="NormalTok"/>
              </w:rPr>
              <w:t xml:space="preserve">(), </w:t>
            </w:r>
            <w:r>
              <w:br/>
            </w:r>
            <w:r>
              <w:rPr>
                <w:rStyle w:val="NormalTok"/>
              </w:rPr>
              <w:t xml:space="preserve">            </w:t>
            </w:r>
            <w:r>
              <w:rPr>
                <w:rStyle w:val="AttributeTok"/>
              </w:rPr>
              <w:t xml:space="preserve">cores =</w:t>
            </w:r>
            <w:r>
              <w:rPr>
                <w:rStyle w:val="NormalTok"/>
              </w:rPr>
              <w:t xml:space="preserve"> </w:t>
            </w:r>
            <w:r>
              <w:rPr>
                <w:rStyle w:val="DecValTok"/>
              </w:rPr>
              <w:t xml:space="preserve">4</w:t>
            </w:r>
            <w:r>
              <w:rPr>
                <w:rStyle w:val="NormalTok"/>
              </w:rPr>
              <w:t xml:space="preserve">, </w:t>
            </w:r>
            <w:r>
              <w:br/>
            </w:r>
            <w:r>
              <w:rPr>
                <w:rStyle w:val="NormalTok"/>
              </w:rPr>
              <w:t xml:space="preserve">            </w:t>
            </w:r>
            <w:r>
              <w:rPr>
                <w:rStyle w:val="AttributeTok"/>
              </w:rPr>
              <w:t xml:space="preserve">prior =</w:t>
            </w:r>
            <w:r>
              <w:rPr>
                <w:rStyle w:val="NormalTok"/>
              </w:rPr>
              <w:t xml:space="preserve"> priors1,</w:t>
            </w:r>
            <w:r>
              <w:br/>
            </w:r>
            <w:r>
              <w:rPr>
                <w:rStyle w:val="NormalTok"/>
              </w:rPr>
              <w:t xml:space="preserve">            </w:t>
            </w:r>
            <w:r>
              <w:rPr>
                <w:rStyle w:val="AttributeTok"/>
              </w:rPr>
              <w:t xml:space="preserve">save_pars =</w:t>
            </w:r>
            <w:r>
              <w:rPr>
                <w:rStyle w:val="NormalTok"/>
              </w:rPr>
              <w:t xml:space="preserve"> </w:t>
            </w:r>
            <w:r>
              <w:rPr>
                <w:rStyle w:val="FunctionTok"/>
              </w:rPr>
              <w:t xml:space="preserve">save_pars</w:t>
            </w:r>
            <w:r>
              <w:rPr>
                <w:rStyle w:val="NormalTok"/>
              </w:rPr>
              <w:t xml:space="preserve">(</w:t>
            </w:r>
            <w:r>
              <w:rPr>
                <w:rStyle w:val="AttributeTok"/>
              </w:rPr>
              <w:t xml:space="preserve">all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save_model =</w:t>
            </w:r>
            <w:r>
              <w:rPr>
                <w:rStyle w:val="NormalTok"/>
              </w:rPr>
              <w:t xml:space="preserve"> </w:t>
            </w:r>
            <w:r>
              <w:rPr>
                <w:rStyle w:val="StringTok"/>
              </w:rPr>
              <w:t xml:space="preserve">"bFit1.stan"</w:t>
            </w:r>
            <w:r>
              <w:rPr>
                <w:rStyle w:val="NormalTok"/>
              </w:rPr>
              <w:t xml:space="preserve">)</w:t>
            </w:r>
            <w:r>
              <w:br/>
            </w:r>
            <w:r>
              <w:br/>
            </w:r>
            <w:r>
              <w:rPr>
                <w:rStyle w:val="CommentTok"/>
              </w:rPr>
              <w:t xml:space="preserve"># What a null model looks like:</w:t>
            </w:r>
            <w:r>
              <w:br/>
            </w:r>
            <w:r>
              <w:rPr>
                <w:rStyle w:val="NormalTok"/>
              </w:rPr>
              <w:t xml:space="preserve">bFitNull </w:t>
            </w:r>
            <w:r>
              <w:rPr>
                <w:rStyle w:val="OtherTok"/>
              </w:rPr>
              <w:t xml:space="preserve">=</w:t>
            </w:r>
            <w:r>
              <w:rPr>
                <w:rStyle w:val="NormalTok"/>
              </w:rPr>
              <w:t xml:space="preserve"> </w:t>
            </w:r>
            <w:r>
              <w:rPr>
                <w:rStyle w:val="FunctionTok"/>
              </w:rPr>
              <w:t xml:space="preserve">brm</w:t>
            </w:r>
            <w:r>
              <w:rPr>
                <w:rStyle w:val="NormalTok"/>
              </w:rPr>
              <w:t xml:space="preserve">(resp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part)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item),</w:t>
            </w:r>
            <w:r>
              <w:br/>
            </w:r>
            <w:r>
              <w:rPr>
                <w:rStyle w:val="NormalTok"/>
              </w:rPr>
              <w:t xml:space="preserve">               </w:t>
            </w:r>
            <w:r>
              <w:rPr>
                <w:rStyle w:val="AttributeTok"/>
              </w:rPr>
              <w:t xml:space="preserve">data =</w:t>
            </w:r>
            <w:r>
              <w:rPr>
                <w:rStyle w:val="NormalTok"/>
              </w:rPr>
              <w:t xml:space="preserve"> d, </w:t>
            </w:r>
            <w:r>
              <w:br/>
            </w:r>
            <w:r>
              <w:rPr>
                <w:rStyle w:val="NormalTok"/>
              </w:rPr>
              <w:t xml:space="preserve">               </w:t>
            </w:r>
            <w:r>
              <w:rPr>
                <w:rStyle w:val="AttributeTok"/>
              </w:rPr>
              <w:t xml:space="preserve">family =</w:t>
            </w:r>
            <w:r>
              <w:rPr>
                <w:rStyle w:val="NormalTok"/>
              </w:rPr>
              <w:t xml:space="preserve"> </w:t>
            </w:r>
            <w:r>
              <w:rPr>
                <w:rStyle w:val="FunctionTok"/>
              </w:rPr>
              <w:t xml:space="preserve">gaussian</w:t>
            </w:r>
            <w:r>
              <w:rPr>
                <w:rStyle w:val="NormalTok"/>
              </w:rPr>
              <w:t xml:space="preserve">(), </w:t>
            </w:r>
            <w:r>
              <w:br/>
            </w:r>
            <w:r>
              <w:rPr>
                <w:rStyle w:val="NormalTok"/>
              </w:rPr>
              <w:t xml:space="preserve">               </w:t>
            </w:r>
            <w:r>
              <w:rPr>
                <w:rStyle w:val="AttributeTok"/>
              </w:rPr>
              <w:t xml:space="preserve">cores =</w:t>
            </w:r>
            <w:r>
              <w:rPr>
                <w:rStyle w:val="NormalTok"/>
              </w:rPr>
              <w:t xml:space="preserve"> </w:t>
            </w:r>
            <w:r>
              <w:rPr>
                <w:rStyle w:val="DecValTok"/>
              </w:rPr>
              <w:t xml:space="preserve">4</w:t>
            </w:r>
            <w:r>
              <w:rPr>
                <w:rStyle w:val="NormalTok"/>
              </w:rPr>
              <w:t xml:space="preserve">, </w:t>
            </w:r>
            <w:r>
              <w:br/>
            </w:r>
            <w:r>
              <w:rPr>
                <w:rStyle w:val="NormalTok"/>
              </w:rPr>
              <w:t xml:space="preserve">               </w:t>
            </w:r>
            <w:r>
              <w:rPr>
                <w:rStyle w:val="AttributeTok"/>
              </w:rPr>
              <w:t xml:space="preserve">iter =</w:t>
            </w:r>
            <w:r>
              <w:rPr>
                <w:rStyle w:val="NormalTok"/>
              </w:rPr>
              <w:t xml:space="preserve"> </w:t>
            </w:r>
            <w:r>
              <w:rPr>
                <w:rStyle w:val="DecValTok"/>
              </w:rPr>
              <w:t xml:space="preserve">4000</w:t>
            </w:r>
            <w:r>
              <w:rPr>
                <w:rStyle w:val="NormalTok"/>
              </w:rPr>
              <w:t xml:space="preserve">,</w:t>
            </w:r>
            <w:r>
              <w:br/>
            </w:r>
            <w:r>
              <w:rPr>
                <w:rStyle w:val="NormalTok"/>
              </w:rPr>
              <w:t xml:space="preserve">               </w:t>
            </w:r>
            <w:r>
              <w:rPr>
                <w:rStyle w:val="AttributeTok"/>
              </w:rPr>
              <w:t xml:space="preserve">prior =</w:t>
            </w:r>
            <w:r>
              <w:rPr>
                <w:rStyle w:val="NormalTok"/>
              </w:rPr>
              <w:t xml:space="preserve"> priorsNull,</w:t>
            </w:r>
            <w:r>
              <w:br/>
            </w:r>
            <w:r>
              <w:rPr>
                <w:rStyle w:val="NormalTok"/>
              </w:rPr>
              <w:t xml:space="preserve">               </w:t>
            </w:r>
            <w:r>
              <w:rPr>
                <w:rStyle w:val="AttributeTok"/>
              </w:rPr>
              <w:t xml:space="preserve">save_pars =</w:t>
            </w:r>
            <w:r>
              <w:rPr>
                <w:rStyle w:val="NormalTok"/>
              </w:rPr>
              <w:t xml:space="preserve"> </w:t>
            </w:r>
            <w:r>
              <w:rPr>
                <w:rStyle w:val="FunctionTok"/>
              </w:rPr>
              <w:t xml:space="preserve">save_pars</w:t>
            </w:r>
            <w:r>
              <w:rPr>
                <w:rStyle w:val="NormalTok"/>
              </w:rPr>
              <w:t xml:space="preserve">(</w:t>
            </w:r>
            <w:r>
              <w:rPr>
                <w:rStyle w:val="AttributeTok"/>
              </w:rPr>
              <w:t xml:space="preserve">all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save_model =</w:t>
            </w:r>
            <w:r>
              <w:rPr>
                <w:rStyle w:val="NormalTok"/>
              </w:rPr>
              <w:t xml:space="preserve"> </w:t>
            </w:r>
            <w:r>
              <w:rPr>
                <w:rStyle w:val="StringTok"/>
              </w:rPr>
              <w:t xml:space="preserve">"bFitNull.stan"</w:t>
            </w:r>
            <w:r>
              <w:rPr>
                <w:rStyle w:val="NormalTok"/>
              </w:rPr>
              <w:t xml:space="preserve">)</w:t>
            </w:r>
            <w:r>
              <w:br/>
            </w:r>
            <w:r>
              <w:br/>
            </w:r>
            <w:r>
              <w:rPr>
                <w:rStyle w:val="CommentTok"/>
              </w:rPr>
              <w:t xml:space="preserve"># To generate our Bayes Factor:</w:t>
            </w:r>
            <w:r>
              <w:br/>
            </w:r>
            <w:r>
              <w:rPr>
                <w:rStyle w:val="CommentTok"/>
              </w:rPr>
              <w:t xml:space="preserve"># bayes_factor(bFit1, bFitNull)</w:t>
            </w:r>
          </w:p>
          <w:bookmarkEnd w:id="39"/>
        </w:tc>
      </w:tr>
    </w:tbl>
    <w:p>
      <w:pPr>
        <w:pStyle w:val="FirstParagraph"/>
      </w:pPr>
      <w:r>
        <w:t xml:space="preserve">The model in question,</w:t>
      </w:r>
      <w:r>
        <w:t xml:space="preserve"> </w:t>
      </w:r>
      <w:r>
        <w:rPr>
          <w:rStyle w:val="VerbatimChar"/>
        </w:rPr>
        <w:t xml:space="preserve">bFit1</w:t>
      </w:r>
      <w:r>
        <w:t xml:space="preserve">, will not run until we create the variable</w:t>
      </w:r>
      <w:r>
        <w:t xml:space="preserve"> </w:t>
      </w:r>
      <w:r>
        <w:rPr>
          <w:rStyle w:val="VerbatimChar"/>
        </w:rPr>
        <w:t xml:space="preserve">priors1</w:t>
      </w:r>
      <w:r>
        <w:t xml:space="preserve"> </w:t>
      </w:r>
      <w:r>
        <w:t xml:space="preserve">referred to in the code. First, it should be clarified that we do</w:t>
      </w:r>
      <w:r>
        <w:t xml:space="preserve"> </w:t>
      </w:r>
      <w:r>
        <w:rPr>
          <w:i/>
          <w:iCs/>
        </w:rPr>
        <w:t xml:space="preserve">not</w:t>
      </w:r>
      <w:r>
        <w:t xml:space="preserve"> </w:t>
      </w:r>
      <w:r>
        <w:t xml:space="preserve">need to specify priors ourselves:</w:t>
      </w:r>
      <w:r>
        <w:t xml:space="preserve"> </w:t>
      </w:r>
      <w:r>
        <w:rPr>
          <w:rStyle w:val="VerbatimChar"/>
        </w:rPr>
        <w:t xml:space="preserve">brm()</w:t>
      </w:r>
      <w:r>
        <w:t xml:space="preserve"> </w:t>
      </w:r>
      <w:r>
        <w:t xml:space="preserve">will use its own set of default priors if we do not provide ours. Here, however, we will assume some mildly informative priors. The default priors used by</w:t>
      </w:r>
      <w:r>
        <w:t xml:space="preserve"> </w:t>
      </w:r>
      <w:r>
        <w:rPr>
          <w:rStyle w:val="VerbatimChar"/>
        </w:rPr>
        <w:t xml:space="preserve">brm()</w:t>
      </w:r>
      <w:r>
        <w:t xml:space="preserve"> </w:t>
      </w:r>
      <w:r>
        <w:t xml:space="preserve">will often be flat, which means the model starts by assuming that values are equally likely. This, however, is neither realistic nor ideal: given the data at hand, we know that no responses are lower than 4 or higher than 8 given</w:t>
      </w:r>
      <w:r>
        <w:t xml:space="preserve"> </w:t>
      </w:r>
      <w:hyperlink w:anchor="fig-fig1">
        <w:r>
          <w:rPr>
            <w:rStyle w:val="Hyperlink"/>
          </w:rPr>
          <w:t xml:space="preserve">Figure 1</w:t>
        </w:r>
      </w:hyperlink>
      <w:r>
        <w:t xml:space="preserve">.</w:t>
      </w:r>
      <w:r>
        <w:rPr>
          <w:rStyle w:val="FootnoteReference"/>
        </w:rPr>
        <w:footnoteReference w:id="40"/>
      </w:r>
      <w:r>
        <w:t xml:space="preserve"> </w:t>
      </w:r>
      <w:r>
        <w:t xml:space="preserve">We also know that extreme reaction times are unlikely in the literature of lexical decision tasks</w:t>
      </w:r>
      <w:r>
        <w:t xml:space="preserve">. Importantly, we know that not all values for our condition levels are equally likely. Imagine that we were estimating the height of a given person. A height of seven meters is clearly impossible, and our model should not start by assuming that such an extraordinary height is just as likely as, say, 1.75 meter.</w:t>
      </w:r>
      <w:r>
        <w:t xml:space="preserve"> </w:t>
      </w:r>
      <w:r>
        <w:t xml:space="preserve">Likewise, a reaction time of 6 (approximately 400ms) of much more likely than a reaction time of 10 (approximately 22,000ms) in such tasks, and reaction times under 2 (approximately 100ms) are considered to be unreliable</w:t>
      </w:r>
      <w:r>
        <w:t xml:space="preserve"> </w:t>
      </w:r>
      <w:r>
        <w:t xml:space="preserve">(Luce, 1991; Whelan, 2008)</w:t>
      </w:r>
      <w:r>
        <w:t xml:space="preserve">.</w:t>
      </w:r>
    </w:p>
    <w:tbl>
      <w:tblPr>
        <w:tblStyle w:val="Table"/>
        <w:tblW w:type="pct" w:w="5000"/>
        <w:tblLayout w:type="fixed"/>
        <w:tblLook w:firstRow="0" w:lastRow="0" w:firstColumn="0" w:lastColumn="0" w:noHBand="0" w:noVBand="0" w:val="0000"/>
      </w:tblPr>
      <w:tblGrid>
        <w:gridCol w:w="7920"/>
      </w:tblGrid>
      <w:tr>
        <w:tc>
          <w:tcPr/>
          <w:bookmarkStart w:id="41" w:name="lst-priors"/>
          <w:p>
            <w:pPr>
              <w:jc w:val="center"/>
            </w:pPr>
            <w:pPr>
              <w:jc w:val="left"/>
              <w:spacing w:before="200"/>
              <w:pStyle w:val="ImageCaption"/>
            </w:pPr>
            <w:r>
              <w:t xml:space="preserve">Listing 6: How to access and set our own priors in</w:t>
            </w:r>
            <w:r>
              <w:t xml:space="preserve"> </w:t>
            </w:r>
            <w:r>
              <w:rPr>
                <w:rStyle w:val="VerbatimChar"/>
              </w:rPr>
              <w:t xml:space="preserve">brms</w:t>
            </w:r>
            <w:r>
              <w:t xml:space="preserve">.</w:t>
            </w:r>
          </w:p>
          <w:p>
            <w:pPr>
              <w:pStyle w:val="SourceCode"/>
              <w:jc w:val="center"/>
            </w:pPr>
            <w:r>
              <w:rPr>
                <w:rStyle w:val="CommentTok"/>
              </w:rPr>
              <w:t xml:space="preserve"># See output of get_prior() in Code block 6 below</w:t>
            </w:r>
            <w:r>
              <w:br/>
            </w:r>
            <w:r>
              <w:rPr>
                <w:rStyle w:val="FunctionTok"/>
              </w:rPr>
              <w:t xml:space="preserve">get_prior</w:t>
            </w:r>
            <w:r>
              <w:rPr>
                <w:rStyle w:val="NormalTok"/>
              </w:rPr>
              <w:t xml:space="preserve">(resp </w:t>
            </w:r>
            <w:r>
              <w:rPr>
                <w:rStyle w:val="SpecialCharTok"/>
              </w:rPr>
              <w:t xml:space="preserve">~</w:t>
            </w:r>
            <w:r>
              <w:rPr>
                <w:rStyle w:val="NormalTok"/>
              </w:rPr>
              <w:t xml:space="preserve"> cond,</w:t>
            </w:r>
            <w:r>
              <w:br/>
            </w:r>
            <w:r>
              <w:rPr>
                <w:rStyle w:val="NormalTok"/>
              </w:rPr>
              <w:t xml:space="preserve">          </w:t>
            </w:r>
            <w:r>
              <w:rPr>
                <w:rStyle w:val="AttributeTok"/>
              </w:rPr>
              <w:t xml:space="preserve">data =</w:t>
            </w:r>
            <w:r>
              <w:rPr>
                <w:rStyle w:val="NormalTok"/>
              </w:rPr>
              <w:t xml:space="preserve"> d, </w:t>
            </w:r>
            <w:r>
              <w:rPr>
                <w:rStyle w:val="AttributeTok"/>
              </w:rPr>
              <w:t xml:space="preserve">cores =</w:t>
            </w:r>
            <w:r>
              <w:rPr>
                <w:rStyle w:val="NormalTok"/>
              </w:rPr>
              <w:t xml:space="preserve"> </w:t>
            </w:r>
            <w:r>
              <w:rPr>
                <w:rStyle w:val="DecValTok"/>
              </w:rPr>
              <w:t xml:space="preserve">4</w:t>
            </w:r>
            <w:r>
              <w:rPr>
                <w:rStyle w:val="NormalTok"/>
              </w:rPr>
              <w:t xml:space="preserve">, </w:t>
            </w:r>
            <w:r>
              <w:rPr>
                <w:rStyle w:val="AttributeTok"/>
              </w:rPr>
              <w:t xml:space="preserve">family =</w:t>
            </w:r>
            <w:r>
              <w:rPr>
                <w:rStyle w:val="NormalTok"/>
              </w:rPr>
              <w:t xml:space="preserve"> </w:t>
            </w:r>
            <w:r>
              <w:rPr>
                <w:rStyle w:val="FunctionTok"/>
              </w:rPr>
              <w:t xml:space="preserve">gaussian</w:t>
            </w:r>
            <w:r>
              <w:rPr>
                <w:rStyle w:val="NormalTok"/>
              </w:rPr>
              <w:t xml:space="preserve">())</w:t>
            </w:r>
            <w:r>
              <w:br/>
            </w:r>
            <w:r>
              <w:br/>
            </w:r>
            <w:r>
              <w:rPr>
                <w:rStyle w:val="NormalTok"/>
              </w:rPr>
              <w:t xml:space="preserve">priors1 </w:t>
            </w:r>
            <w:r>
              <w:rPr>
                <w:rStyle w:val="OtherTok"/>
              </w:rPr>
              <w:t xml:space="preserve">=</w:t>
            </w:r>
            <w:r>
              <w:rPr>
                <w:rStyle w:val="NormalTok"/>
              </w:rPr>
              <w:t xml:space="preserve"> </w:t>
            </w:r>
            <w:r>
              <w:rPr>
                <w:rStyle w:val="FunctionTok"/>
              </w:rPr>
              <w:t xml:space="preserve">c</w:t>
            </w:r>
            <w:r>
              <w:rPr>
                <w:rStyle w:val="NormalTok"/>
              </w:rPr>
              <w:t xml:space="preserve">(</w:t>
            </w:r>
            <w:r>
              <w:rPr>
                <w:rStyle w:val="FunctionTok"/>
              </w:rPr>
              <w:t xml:space="preserve">set_prior</w:t>
            </w:r>
            <w:r>
              <w:rPr>
                <w:rStyle w:val="NormalTok"/>
              </w:rPr>
              <w:t xml:space="preserve">(</w:t>
            </w:r>
            <w:r>
              <w:rPr>
                <w:rStyle w:val="AttributeTok"/>
              </w:rPr>
              <w:t xml:space="preserve">class =</w:t>
            </w:r>
            <w:r>
              <w:rPr>
                <w:rStyle w:val="NormalTok"/>
              </w:rPr>
              <w:t xml:space="preserve"> </w:t>
            </w:r>
            <w:r>
              <w:rPr>
                <w:rStyle w:val="StringTok"/>
              </w:rPr>
              <w:t xml:space="preserve">"Intercept"</w:t>
            </w:r>
            <w:r>
              <w:rPr>
                <w:rStyle w:val="NormalTok"/>
              </w:rPr>
              <w:t xml:space="preserve">, </w:t>
            </w:r>
            <w:r>
              <w:br/>
            </w:r>
            <w:r>
              <w:rPr>
                <w:rStyle w:val="NormalTok"/>
              </w:rPr>
              <w:t xml:space="preserve">                      </w:t>
            </w:r>
            <w:r>
              <w:rPr>
                <w:rStyle w:val="AttributeTok"/>
              </w:rPr>
              <w:t xml:space="preserve">prior =</w:t>
            </w:r>
            <w:r>
              <w:rPr>
                <w:rStyle w:val="NormalTok"/>
              </w:rPr>
              <w:t xml:space="preserve"> </w:t>
            </w:r>
            <w:r>
              <w:rPr>
                <w:rStyle w:val="StringTok"/>
              </w:rPr>
              <w:t xml:space="preserve">"normal(7, 1)"</w:t>
            </w:r>
            <w:r>
              <w:rPr>
                <w:rStyle w:val="NormalTok"/>
              </w:rPr>
              <w:t xml:space="preserve">),</w:t>
            </w:r>
            <w:r>
              <w:br/>
            </w:r>
            <w:r>
              <w:rPr>
                <w:rStyle w:val="NormalTok"/>
              </w:rPr>
              <w:t xml:space="preserve">            </w:t>
            </w:r>
            <w:r>
              <w:rPr>
                <w:rStyle w:val="FunctionTok"/>
              </w:rPr>
              <w:t xml:space="preserve">set_prior</w:t>
            </w:r>
            <w:r>
              <w:rPr>
                <w:rStyle w:val="NormalTok"/>
              </w:rPr>
              <w:t xml:space="preserve">(</w:t>
            </w:r>
            <w:r>
              <w:rPr>
                <w:rStyle w:val="AttributeTok"/>
              </w:rPr>
              <w:t xml:space="preserve">class =</w:t>
            </w:r>
            <w:r>
              <w:rPr>
                <w:rStyle w:val="NormalTok"/>
              </w:rPr>
              <w:t xml:space="preserve"> </w:t>
            </w:r>
            <w:r>
              <w:rPr>
                <w:rStyle w:val="StringTok"/>
              </w:rPr>
              <w:t xml:space="preserve">"b"</w:t>
            </w:r>
            <w:r>
              <w:rPr>
                <w:rStyle w:val="NormalTok"/>
              </w:rPr>
              <w:t xml:space="preserve">, </w:t>
            </w:r>
            <w:r>
              <w:rPr>
                <w:rStyle w:val="CommentTok"/>
              </w:rPr>
              <w:t xml:space="preserve"># all slopes</w:t>
            </w:r>
            <w:r>
              <w:br/>
            </w:r>
            <w:r>
              <w:rPr>
                <w:rStyle w:val="NormalTok"/>
              </w:rPr>
              <w:t xml:space="preserve">                      </w:t>
            </w:r>
            <w:r>
              <w:rPr>
                <w:rStyle w:val="AttributeTok"/>
              </w:rPr>
              <w:t xml:space="preserve">prior =</w:t>
            </w:r>
            <w:r>
              <w:rPr>
                <w:rStyle w:val="NormalTok"/>
              </w:rPr>
              <w:t xml:space="preserve"> </w:t>
            </w:r>
            <w:r>
              <w:rPr>
                <w:rStyle w:val="StringTok"/>
              </w:rPr>
              <w:t xml:space="preserve">"normal(0, 1)"</w:t>
            </w:r>
            <w:r>
              <w:rPr>
                <w:rStyle w:val="NormalTok"/>
              </w:rPr>
              <w:t xml:space="preserve">))</w:t>
            </w:r>
            <w:r>
              <w:br/>
            </w:r>
            <w:r>
              <w:br/>
            </w:r>
            <w:r>
              <w:rPr>
                <w:rStyle w:val="CommentTok"/>
              </w:rPr>
              <w:t xml:space="preserve"># Priors for the null model bFitNull:</w:t>
            </w:r>
            <w:r>
              <w:br/>
            </w:r>
            <w:r>
              <w:rPr>
                <w:rStyle w:val="NormalTok"/>
              </w:rPr>
              <w:t xml:space="preserve">priorsNull </w:t>
            </w:r>
            <w:r>
              <w:rPr>
                <w:rStyle w:val="OtherTok"/>
              </w:rPr>
              <w:t xml:space="preserve">=</w:t>
            </w:r>
            <w:r>
              <w:rPr>
                <w:rStyle w:val="NormalTok"/>
              </w:rPr>
              <w:t xml:space="preserve"> </w:t>
            </w:r>
            <w:r>
              <w:rPr>
                <w:rStyle w:val="FunctionTok"/>
              </w:rPr>
              <w:t xml:space="preserve">c</w:t>
            </w:r>
            <w:r>
              <w:rPr>
                <w:rStyle w:val="NormalTok"/>
              </w:rPr>
              <w:t xml:space="preserve">(</w:t>
            </w:r>
            <w:r>
              <w:rPr>
                <w:rStyle w:val="FunctionTok"/>
              </w:rPr>
              <w:t xml:space="preserve">set_prior</w:t>
            </w:r>
            <w:r>
              <w:rPr>
                <w:rStyle w:val="NormalTok"/>
              </w:rPr>
              <w:t xml:space="preserve">(</w:t>
            </w:r>
            <w:r>
              <w:rPr>
                <w:rStyle w:val="AttributeTok"/>
              </w:rPr>
              <w:t xml:space="preserve">class =</w:t>
            </w:r>
            <w:r>
              <w:rPr>
                <w:rStyle w:val="NormalTok"/>
              </w:rPr>
              <w:t xml:space="preserve"> </w:t>
            </w:r>
            <w:r>
              <w:rPr>
                <w:rStyle w:val="StringTok"/>
              </w:rPr>
              <w:t xml:space="preserve">"Intercept"</w:t>
            </w:r>
            <w:r>
              <w:rPr>
                <w:rStyle w:val="NormalTok"/>
              </w:rPr>
              <w:t xml:space="preserve">, </w:t>
            </w:r>
            <w:r>
              <w:br/>
            </w:r>
            <w:r>
              <w:rPr>
                <w:rStyle w:val="NormalTok"/>
              </w:rPr>
              <w:t xml:space="preserve">                         </w:t>
            </w:r>
            <w:r>
              <w:rPr>
                <w:rStyle w:val="AttributeTok"/>
              </w:rPr>
              <w:t xml:space="preserve">prior =</w:t>
            </w:r>
            <w:r>
              <w:rPr>
                <w:rStyle w:val="NormalTok"/>
              </w:rPr>
              <w:t xml:space="preserve"> </w:t>
            </w:r>
            <w:r>
              <w:rPr>
                <w:rStyle w:val="StringTok"/>
              </w:rPr>
              <w:t xml:space="preserve">"normal(7, 1)"</w:t>
            </w:r>
            <w:r>
              <w:rPr>
                <w:rStyle w:val="NormalTok"/>
              </w:rPr>
              <w:t xml:space="preserve">))</w:t>
            </w:r>
          </w:p>
          <w:bookmarkEnd w:id="41"/>
        </w:tc>
      </w:tr>
    </w:tbl>
    <w:tbl>
      <w:tblPr>
        <w:tblStyle w:val="Table"/>
        <w:tblW w:type="pct" w:w="5000"/>
        <w:tblLayout w:type="fixed"/>
        <w:tblLook w:firstRow="0" w:lastRow="0" w:firstColumn="0" w:lastColumn="0" w:noHBand="0" w:noVBand="0" w:val="0000"/>
      </w:tblPr>
      <w:tblGrid>
        <w:gridCol w:w="7920"/>
      </w:tblGrid>
      <w:tr>
        <w:tc>
          <w:tcPr/>
          <w:bookmarkStart w:id="42" w:name="lst-get-prior"/>
          <w:p>
            <w:pPr>
              <w:jc w:val="center"/>
            </w:pPr>
            <w:pPr>
              <w:jc w:val="left"/>
              <w:spacing w:before="200"/>
              <w:pStyle w:val="ImageCaption"/>
            </w:pPr>
            <w:r>
              <w:t xml:space="preserve">Listing 7: The structure of priors in</w:t>
            </w:r>
            <w:r>
              <w:t xml:space="preserve"> </w:t>
            </w:r>
            <w:r>
              <w:rPr>
                <w:rStyle w:val="VerbatimChar"/>
              </w:rPr>
              <w:t xml:space="preserve">brms</w:t>
            </w:r>
            <w:r>
              <w:t xml:space="preserve">.</w:t>
            </w:r>
          </w:p>
          <w:p>
            <w:pPr>
              <w:pStyle w:val="SourceCode"/>
              <w:jc w:val="center"/>
            </w:pPr>
            <w:r>
              <w:rPr>
                <w:rStyle w:val="CommentTok"/>
              </w:rPr>
              <w:t xml:space="preserve"># A simplified output of get_prior():</w:t>
            </w:r>
            <w:r>
              <w:br/>
            </w:r>
            <w:r>
              <w:rPr>
                <w:rStyle w:val="FunctionTok"/>
              </w:rPr>
              <w:t xml:space="preserve">get_prior</w:t>
            </w:r>
            <w:r>
              <w:rPr>
                <w:rStyle w:val="NormalTok"/>
              </w:rPr>
              <w:t xml:space="preserve">(resp </w:t>
            </w:r>
            <w:r>
              <w:rPr>
                <w:rStyle w:val="SpecialCharTok"/>
              </w:rPr>
              <w:t xml:space="preserve">~</w:t>
            </w:r>
            <w:r>
              <w:rPr>
                <w:rStyle w:val="NormalTok"/>
              </w:rPr>
              <w:t xml:space="preserve"> cond,</w:t>
            </w:r>
            <w:r>
              <w:br/>
            </w:r>
            <w:r>
              <w:rPr>
                <w:rStyle w:val="NormalTok"/>
              </w:rPr>
              <w:t xml:space="preserve">          </w:t>
            </w:r>
            <w:r>
              <w:rPr>
                <w:rStyle w:val="AttributeTok"/>
              </w:rPr>
              <w:t xml:space="preserve">data =</w:t>
            </w:r>
            <w:r>
              <w:rPr>
                <w:rStyle w:val="NormalTok"/>
              </w:rPr>
              <w:t xml:space="preserve"> d, </w:t>
            </w:r>
            <w:r>
              <w:rPr>
                <w:rStyle w:val="AttributeTok"/>
              </w:rPr>
              <w:t xml:space="preserve">cores =</w:t>
            </w:r>
            <w:r>
              <w:rPr>
                <w:rStyle w:val="NormalTok"/>
              </w:rPr>
              <w:t xml:space="preserve"> </w:t>
            </w:r>
            <w:r>
              <w:rPr>
                <w:rStyle w:val="DecValTok"/>
              </w:rPr>
              <w:t xml:space="preserve">4</w:t>
            </w:r>
            <w:r>
              <w:rPr>
                <w:rStyle w:val="NormalTok"/>
              </w:rPr>
              <w:t xml:space="preserve">, </w:t>
            </w:r>
            <w:r>
              <w:br/>
            </w:r>
            <w:r>
              <w:rPr>
                <w:rStyle w:val="NormalTok"/>
              </w:rPr>
              <w:t xml:space="preserve">          </w:t>
            </w:r>
            <w:r>
              <w:rPr>
                <w:rStyle w:val="AttributeTok"/>
              </w:rPr>
              <w:t xml:space="preserve">family =</w:t>
            </w:r>
            <w:r>
              <w:rPr>
                <w:rStyle w:val="NormalTok"/>
              </w:rPr>
              <w:t xml:space="preserve"> </w:t>
            </w:r>
            <w:r>
              <w:rPr>
                <w:rStyle w:val="FunctionTok"/>
              </w:rPr>
              <w:t xml:space="preserve">gaussian</w:t>
            </w:r>
            <w:r>
              <w:rPr>
                <w:rStyle w:val="NormalTok"/>
              </w:rPr>
              <w:t xml:space="preserve">()) </w:t>
            </w:r>
            <w:r>
              <w:rPr>
                <w:rStyle w:val="SpecialCharTok"/>
              </w:rPr>
              <w:t xml:space="preserve">|&gt;</w:t>
            </w:r>
            <w:r>
              <w:rPr>
                <w:rStyle w:val="NormalTok"/>
              </w:rPr>
              <w:t xml:space="preserve"> </w:t>
            </w:r>
            <w:r>
              <w:br/>
            </w:r>
            <w:r>
              <w:rPr>
                <w:rStyle w:val="NormalTok"/>
              </w:rPr>
              <w:t xml:space="preserve">  </w:t>
            </w:r>
            <w:r>
              <w:rPr>
                <w:rStyle w:val="FunctionTok"/>
              </w:rPr>
              <w:t xml:space="preserve">select</w:t>
            </w:r>
            <w:r>
              <w:rPr>
                <w:rStyle w:val="NormalTok"/>
              </w:rPr>
              <w:t xml:space="preserve">(prior, class, coef, source)</w:t>
            </w:r>
            <w:r>
              <w:br/>
            </w:r>
            <w:r>
              <w:rPr>
                <w:rStyle w:val="CommentTok"/>
              </w:rPr>
              <w:t xml:space="preserve">#&gt;                   prior     class   coef  source</w:t>
            </w:r>
            <w:r>
              <w:br/>
            </w:r>
            <w:r>
              <w:rPr>
                <w:rStyle w:val="CommentTok"/>
              </w:rPr>
              <w:t xml:space="preserve">#&gt;                  (flat)         b        default</w:t>
            </w:r>
            <w:r>
              <w:br/>
            </w:r>
            <w:r>
              <w:rPr>
                <w:rStyle w:val="CommentTok"/>
              </w:rPr>
              <w:t xml:space="preserve">#&gt;                  (flat)         b condc2 default</w:t>
            </w:r>
            <w:r>
              <w:br/>
            </w:r>
            <w:r>
              <w:rPr>
                <w:rStyle w:val="CommentTok"/>
              </w:rPr>
              <w:t xml:space="preserve">#&gt;                  (flat)         b condc3 default</w:t>
            </w:r>
            <w:r>
              <w:br/>
            </w:r>
            <w:r>
              <w:rPr>
                <w:rStyle w:val="CommentTok"/>
              </w:rPr>
              <w:t xml:space="preserve">#&gt;                  (flat)         b condc4 default</w:t>
            </w:r>
            <w:r>
              <w:br/>
            </w:r>
            <w:r>
              <w:rPr>
                <w:rStyle w:val="CommentTok"/>
              </w:rPr>
              <w:t xml:space="preserve">#&gt;                  (flat)         b condc5 default</w:t>
            </w:r>
            <w:r>
              <w:br/>
            </w:r>
            <w:r>
              <w:rPr>
                <w:rStyle w:val="CommentTok"/>
              </w:rPr>
              <w:t xml:space="preserve">#&gt;  student_t(3, 6.8, 2.5) Intercept        default</w:t>
            </w:r>
            <w:r>
              <w:br/>
            </w:r>
            <w:r>
              <w:rPr>
                <w:rStyle w:val="CommentTok"/>
              </w:rPr>
              <w:t xml:space="preserve">#&gt;    student_t(3, 0, 2.5)     sigma        default</w:t>
            </w:r>
          </w:p>
          <w:bookmarkEnd w:id="42"/>
        </w:tc>
      </w:tr>
    </w:tbl>
    <w:p>
      <w:pPr>
        <w:pStyle w:val="FirstParagraph"/>
      </w:pPr>
      <w:r>
        <w:t xml:space="preserve">In</w:t>
      </w:r>
      <w:r>
        <w:t xml:space="preserve"> </w:t>
      </w:r>
      <w:hyperlink w:anchor="lst-priors">
        <w:r>
          <w:rPr>
            <w:rStyle w:val="Hyperlink"/>
          </w:rPr>
          <w:t xml:space="preserve">Listing 6</w:t>
        </w:r>
      </w:hyperlink>
      <w:r>
        <w:t xml:space="preserve">, we first use the function</w:t>
      </w:r>
      <w:r>
        <w:t xml:space="preserve"> </w:t>
      </w:r>
      <w:r>
        <w:rPr>
          <w:rStyle w:val="VerbatimChar"/>
        </w:rPr>
        <w:t xml:space="preserve">get_prior()</w:t>
      </w:r>
      <w:r>
        <w:t xml:space="preserve"> </w:t>
      </w:r>
      <w:r>
        <w:t xml:space="preserve">to inspect the priors assumed by the model (default priors). The reader can inspect the output of</w:t>
      </w:r>
      <w:r>
        <w:t xml:space="preserve"> </w:t>
      </w:r>
      <w:r>
        <w:rPr>
          <w:rStyle w:val="VerbatimChar"/>
        </w:rPr>
        <w:t xml:space="preserve">get_prior()</w:t>
      </w:r>
      <w:r>
        <w:t xml:space="preserve"> </w:t>
      </w:r>
      <w:r>
        <w:t xml:space="preserve">in</w:t>
      </w:r>
      <w:r>
        <w:t xml:space="preserve"> </w:t>
      </w:r>
      <w:hyperlink w:anchor="lst-get-prior">
        <w:r>
          <w:rPr>
            <w:rStyle w:val="Hyperlink"/>
          </w:rPr>
          <w:t xml:space="preserve">Listing 7</w:t>
        </w:r>
      </w:hyperlink>
      <w:r>
        <w:t xml:space="preserve">. Note that we are feeding</w:t>
      </w:r>
      <w:r>
        <w:t xml:space="preserve"> </w:t>
      </w:r>
      <w:r>
        <w:rPr>
          <w:rStyle w:val="VerbatimChar"/>
        </w:rPr>
        <w:t xml:space="preserve">get_prior()</w:t>
      </w:r>
      <w:r>
        <w:t xml:space="preserve"> </w:t>
      </w:r>
      <w:r>
        <w:t xml:space="preserve">with the non-hierarchical version of the model to simplify our analysis here, but you could certainly extract and modify priors on the mixed effects as well. We then set our own priors with the function</w:t>
      </w:r>
      <w:r>
        <w:t xml:space="preserve"> </w:t>
      </w:r>
      <w:r>
        <w:rPr>
          <w:rStyle w:val="VerbatimChar"/>
        </w:rPr>
        <w:t xml:space="preserve">set_prior()</w:t>
      </w:r>
      <w:r>
        <w:t xml:space="preserve">. Here, we are assuming that all of slopes (</w:t>
      </w:r>
      <w:r>
        <w:rPr>
          <w:rStyle w:val="VerbatimChar"/>
        </w:rPr>
        <w:t xml:space="preserve">c2</w:t>
      </w:r>
      <w:r>
        <w:t xml:space="preserve"> </w:t>
      </w:r>
      <w:r>
        <w:t xml:space="preserve">to</w:t>
      </w:r>
      <w:r>
        <w:t xml:space="preserve"> </w:t>
      </w:r>
      <w:r>
        <w:rPr>
          <w:rStyle w:val="VerbatimChar"/>
        </w:rPr>
        <w:t xml:space="preserve">c5</w:t>
      </w:r>
      <w:r>
        <w:t xml:space="preserve">) follow a Gaussian (normal) distribution centered around zero with a standard deviation of 1:</w:t>
      </w:r>
      <w:r>
        <w:t xml:space="preserve"> </w:t>
      </w:r>
      <m:oMath>
        <m:r>
          <m:rPr>
            <m:scr m:val="script"/>
            <m:sty m:val="p"/>
          </m:rPr>
          <m:t>N</m:t>
        </m:r>
        <m:r>
          <m:rPr>
            <m:sty m:val="p"/>
          </m:rPr>
          <m:t>(</m:t>
        </m:r>
        <m:r>
          <m:t>μ</m:t>
        </m:r>
        <m:r>
          <m:rPr>
            <m:sty m:val="p"/>
          </m:rPr>
          <m:t>=</m:t>
        </m:r>
        <m:r>
          <m:t>0</m:t>
        </m:r>
        <m:r>
          <m:rPr>
            <m:sty m:val="p"/>
          </m:rPr>
          <m:t>,</m:t>
        </m:r>
        <m:r>
          <m:t>σ</m:t>
        </m:r>
        <m:r>
          <m:rPr>
            <m:sty m:val="p"/>
          </m:rPr>
          <m:t>=</m:t>
        </m:r>
        <m:r>
          <m:t>1</m:t>
        </m:r>
        <m:r>
          <m:rPr>
            <m:sty m:val="p"/>
          </m:rPr>
          <m:t>)</m:t>
        </m:r>
      </m:oMath>
      <w:r>
        <w:t xml:space="preserve">. Thus, the priors in question contain no directional bias, and they also introduce a relatively high degree of uncertainty, given the standard deviation we assume for each distribution. For comparison, in our actual data, the standard deviation of our response variable</w:t>
      </w:r>
      <w:r>
        <w:t xml:space="preserve"> </w:t>
      </w:r>
      <w:r>
        <w:rPr>
          <w:rStyle w:val="VerbatimChar"/>
        </w:rPr>
        <w:t xml:space="preserve">resp</w:t>
      </w:r>
      <w:r>
        <w:t xml:space="preserve"> </w:t>
      </w:r>
      <w:r>
        <w:t xml:space="preserve">ranges from</w:t>
      </w:r>
      <w:r>
        <w:t xml:space="preserve"> </w:t>
      </w:r>
      <m:oMath>
        <m:r>
          <m:t>0.16</m:t>
        </m:r>
      </m:oMath>
      <w:r>
        <w:t xml:space="preserve"> </w:t>
      </w:r>
      <w:r>
        <w:t xml:space="preserve">to</w:t>
      </w:r>
      <w:r>
        <w:t xml:space="preserve"> </w:t>
      </w:r>
      <m:oMath>
        <m:r>
          <m:t>0.21</m:t>
        </m:r>
      </m:oMath>
      <w:r>
        <w:t xml:space="preserve"> </w:t>
      </w:r>
      <w:r>
        <w:t xml:space="preserve">for all five conditions</w:t>
      </w:r>
      <w:r>
        <w:t xml:space="preserve"> </w:t>
      </w:r>
      <w:r>
        <w:rPr>
          <w:rStyle w:val="VerbatimChar"/>
        </w:rPr>
        <w:t xml:space="preserve">cond</w:t>
      </w:r>
      <w:r>
        <w:t xml:space="preserve">, as can be verified in</w:t>
      </w:r>
      <w:r>
        <w:t xml:space="preserve"> </w:t>
      </w:r>
      <w:hyperlink w:anchor="tbl-data-balance">
        <w:r>
          <w:rPr>
            <w:rStyle w:val="Hyperlink"/>
          </w:rPr>
          <w:t xml:space="preserve">Table 2</w:t>
        </w:r>
      </w:hyperlink>
      <w:r>
        <w:t xml:space="preserve">.</w:t>
      </w:r>
      <w:r>
        <w:rPr>
          <w:rStyle w:val="FootnoteReference"/>
        </w:rPr>
        <w:footnoteReference w:id="43"/>
      </w:r>
      <w:r>
        <w:t xml:space="preserve"> </w:t>
      </w:r>
      <w:r>
        <w:t xml:space="preserve">These priors tell the model that absurd values are simply not plausible. Finally, our intercept (</w:t>
      </w:r>
      <m:oMath>
        <m:sSub>
          <m:e>
            <m:acc>
              <m:accPr>
                <m:chr m:val="̂"/>
              </m:accPr>
              <m:e>
                <m:r>
                  <m:t>β</m:t>
                </m:r>
              </m:e>
            </m:acc>
          </m:e>
          <m:sub>
            <m:r>
              <m:t>0</m:t>
            </m:r>
          </m:sub>
        </m:sSub>
      </m:oMath>
      <w:r>
        <w:t xml:space="preserve">) is assumed to have a mean of 7 (which approximates the observed mean of</w:t>
      </w:r>
      <w:r>
        <w:t xml:space="preserve"> </w:t>
      </w:r>
      <w:r>
        <w:rPr>
          <w:rStyle w:val="VerbatimChar"/>
        </w:rPr>
        <w:t xml:space="preserve">c1</w:t>
      </w:r>
      <w:r>
        <w:t xml:space="preserve"> </w:t>
      </w:r>
      <w:r>
        <w:t xml:space="preserve">already visualized).</w:t>
      </w:r>
    </w:p>
    <w:p>
      <w:pPr>
        <w:pStyle w:val="BodyText"/>
      </w:pPr>
      <w:r>
        <w:t xml:space="preserve">In summary, we are telling our model that there should be no differences between the conditions, and we are constraining the range of potential differences by saying that values near zero are more likely than values far away from zero. This starting point is very distinct from assuming flat priors. We are merely telling the model that certain values are much more likely than others, and we are being conservative by assuming priors centered at zero with relatively wide distributions.</w:t>
      </w:r>
    </w:p>
    <w:p>
      <w:pPr>
        <w:pStyle w:val="BodyText"/>
      </w:pPr>
      <w:r>
        <w:t xml:space="preserve">Since we have now defined our priors, we can finally run our model. Running a Bayesian model takes much longer than running an equivalent Frequentist model. For that reason, it is a good idea to save the model for later use:</w:t>
      </w:r>
      <w:r>
        <w:t xml:space="preserve"> </w:t>
      </w:r>
      <w:r>
        <w:rPr>
          <w:rStyle w:val="VerbatimChar"/>
        </w:rPr>
        <w:t xml:space="preserve">save(bFit1, file = "bFit1.RData")</w:t>
      </w:r>
      <w:r>
        <w:t xml:space="preserve"> </w:t>
      </w:r>
      <w:r>
        <w:t xml:space="preserve">will save the model in</w:t>
      </w:r>
      <w:r>
        <w:t xml:space="preserve"> </w:t>
      </w:r>
      <w:r>
        <w:rPr>
          <w:rStyle w:val="VerbatimChar"/>
        </w:rPr>
        <w:t xml:space="preserve">RData</w:t>
      </w:r>
      <w:r>
        <w:t xml:space="preserve"> </w:t>
      </w:r>
      <w:r>
        <w:t xml:space="preserve">format. You can later read it by using</w:t>
      </w:r>
      <w:r>
        <w:t xml:space="preserve"> </w:t>
      </w:r>
      <w:r>
        <w:rPr>
          <w:rStyle w:val="VerbatimChar"/>
        </w:rPr>
        <w:t xml:space="preserve">load("bFit1.RData")</w:t>
      </w:r>
      <w:r>
        <w:t xml:space="preserve">. Importantly, we can save however many objects in a single</w:t>
      </w:r>
      <w:r>
        <w:t xml:space="preserve"> </w:t>
      </w:r>
      <w:r>
        <w:rPr>
          <w:rStyle w:val="VerbatimChar"/>
        </w:rPr>
        <w:t xml:space="preserve">RData</w:t>
      </w:r>
      <w:r>
        <w:t xml:space="preserve"> </w:t>
      </w:r>
      <w:r>
        <w:t xml:space="preserve">file. The Population-level effects of our model,</w:t>
      </w:r>
      <w:r>
        <w:t xml:space="preserve"> </w:t>
      </w:r>
      <w:r>
        <w:rPr>
          <w:rStyle w:val="VerbatimChar"/>
        </w:rPr>
        <w:t xml:space="preserve">bFit1</w:t>
      </w:r>
      <w:r>
        <w:t xml:space="preserve">, are shown in</w:t>
      </w:r>
      <w:r>
        <w:t xml:space="preserve"> </w:t>
      </w:r>
      <w:hyperlink w:anchor="lst-bFit1-result">
        <w:r>
          <w:rPr>
            <w:rStyle w:val="Hyperlink"/>
          </w:rPr>
          <w:t xml:space="preserve">Listing 8</w:t>
        </w:r>
      </w:hyperlink>
      <w:r>
        <w:t xml:space="preserve">—the reader should run</w:t>
      </w:r>
      <w:r>
        <w:t xml:space="preserve"> </w:t>
      </w:r>
      <w:r>
        <w:rPr>
          <w:rStyle w:val="VerbatimChar"/>
        </w:rPr>
        <w:t xml:space="preserve">bFit1</w:t>
      </w:r>
      <w:r>
        <w:t xml:space="preserve"> </w:t>
      </w:r>
      <w:r>
        <w:t xml:space="preserve">to explore the entire output of the model.</w:t>
      </w:r>
    </w:p>
    <w:tbl>
      <w:tblPr>
        <w:tblStyle w:val="Table"/>
        <w:tblW w:type="pct" w:w="5000"/>
        <w:tblLayout w:type="fixed"/>
        <w:tblLook w:firstRow="0" w:lastRow="0" w:firstColumn="0" w:lastColumn="0" w:noHBand="0" w:noVBand="0" w:val="0000"/>
      </w:tblPr>
      <w:tblGrid>
        <w:gridCol w:w="7920"/>
      </w:tblGrid>
      <w:tr>
        <w:tc>
          <w:tcPr/>
          <w:bookmarkStart w:id="44" w:name="lst-bFit1-result"/>
          <w:p>
            <w:pPr>
              <w:jc w:val="center"/>
            </w:pPr>
            <w:pPr>
              <w:jc w:val="left"/>
              <w:spacing w:before="200"/>
              <w:pStyle w:val="ImageCaption"/>
            </w:pPr>
            <w:r>
              <w:t xml:space="preserve">Listing 8: Model results (only population-level).</w:t>
            </w:r>
          </w:p>
          <w:p>
            <w:pPr>
              <w:pStyle w:val="SourceCode"/>
              <w:jc w:val="center"/>
            </w:pPr>
            <w:r>
              <w:rPr>
                <w:rStyle w:val="FunctionTok"/>
              </w:rPr>
              <w:t xml:space="preserve">summary</w:t>
            </w:r>
            <w:r>
              <w:rPr>
                <w:rStyle w:val="NormalTok"/>
              </w:rPr>
              <w:t xml:space="preserve">(bFit1)</w:t>
            </w:r>
            <w:r>
              <w:rPr>
                <w:rStyle w:val="SpecialCharTok"/>
              </w:rPr>
              <w:t xml:space="preserve">$</w:t>
            </w:r>
            <w:r>
              <w:rPr>
                <w:rStyle w:val="NormalTok"/>
              </w:rPr>
              <w:t xml:space="preserve">fixed </w:t>
            </w:r>
            <w:r>
              <w:rPr>
                <w:rStyle w:val="SpecialCharTok"/>
              </w:rPr>
              <w:t xml:space="preserve">|&gt;</w:t>
            </w:r>
            <w:r>
              <w:rPr>
                <w:rStyle w:val="NormalTok"/>
              </w:rPr>
              <w:t xml:space="preserve"> </w:t>
            </w:r>
            <w:r>
              <w:rPr>
                <w:rStyle w:val="FunctionTok"/>
              </w:rPr>
              <w:t xml:space="preserve">round</w:t>
            </w:r>
            <w:r>
              <w:rPr>
                <w:rStyle w:val="NormalTok"/>
              </w:rPr>
              <w:t xml:space="preserve">(</w:t>
            </w:r>
            <w:r>
              <w:rPr>
                <w:rStyle w:val="DecValTok"/>
              </w:rPr>
              <w:t xml:space="preserve">2</w:t>
            </w:r>
            <w:r>
              <w:rPr>
                <w:rStyle w:val="NormalTok"/>
              </w:rPr>
              <w:t xml:space="preserve">)</w:t>
            </w:r>
            <w:r>
              <w:br/>
            </w:r>
            <w:r>
              <w:rPr>
                <w:rStyle w:val="CommentTok"/>
              </w:rPr>
              <w:t xml:space="preserve">#&gt;           Estimate Est.Error l-95% CI u-95% CI Rhat Bulk_ESS Tail_ESS</w:t>
            </w:r>
            <w:r>
              <w:br/>
            </w:r>
            <w:r>
              <w:rPr>
                <w:rStyle w:val="CommentTok"/>
              </w:rPr>
              <w:t xml:space="preserve">#&gt; Intercept     6.81      0.03     6.75     6.88    1   891.03  1753.07</w:t>
            </w:r>
            <w:r>
              <w:br/>
            </w:r>
            <w:r>
              <w:rPr>
                <w:rStyle w:val="CommentTok"/>
              </w:rPr>
              <w:t xml:space="preserve">#&gt; condc2       -0.06      0.04    -0.13     0.02    1  1436.42  2309.61</w:t>
            </w:r>
            <w:r>
              <w:br/>
            </w:r>
            <w:r>
              <w:rPr>
                <w:rStyle w:val="CommentTok"/>
              </w:rPr>
              <w:t xml:space="preserve">#&gt; condc3        0.05      0.04    -0.03     0.12    1  1431.52  2217.36</w:t>
            </w:r>
            <w:r>
              <w:br/>
            </w:r>
            <w:r>
              <w:rPr>
                <w:rStyle w:val="CommentTok"/>
              </w:rPr>
              <w:t xml:space="preserve">#&gt; condc4        0.03      0.05    -0.07     0.12    1  1710.44  2504.72</w:t>
            </w:r>
            <w:r>
              <w:br/>
            </w:r>
            <w:r>
              <w:rPr>
                <w:rStyle w:val="CommentTok"/>
              </w:rPr>
              <w:t xml:space="preserve">#&gt; condc5       -0.07      0.04    -0.14     0.00    1  1360.37  2387.45</w:t>
            </w:r>
          </w:p>
          <w:bookmarkEnd w:id="44"/>
        </w:tc>
      </w:tr>
    </w:tbl>
    <w:p>
      <w:pPr>
        <w:pStyle w:val="FirstParagraph"/>
      </w:pPr>
      <w:r>
        <w:t xml:space="preserve">In the column</w:t>
      </w:r>
      <w:r>
        <w:t xml:space="preserve"> </w:t>
      </w:r>
      <w:r>
        <w:rPr>
          <w:rStyle w:val="VerbatimChar"/>
        </w:rPr>
        <w:t xml:space="preserve">Estimate</w:t>
      </w:r>
      <w:r>
        <w:t xml:space="preserve">, we can see the mean estimate for each condition (recall that each estimate represents an entire posterior distribution). We also see the uncertainty for each estimate, quantified as the standard deviation of the posterior distribution,</w:t>
      </w:r>
      <w:r>
        <w:rPr>
          <w:rStyle w:val="FootnoteReference"/>
        </w:rPr>
        <w:footnoteReference w:id="45"/>
      </w:r>
      <w:r>
        <w:t xml:space="preserve"> </w:t>
      </w:r>
      <w:r>
        <w:t xml:space="preserve">and the two-sided 95% credible intervals (</w:t>
      </w:r>
      <w:r>
        <w:rPr>
          <w:rStyle w:val="VerbatimChar"/>
        </w:rPr>
        <w:t xml:space="preserve">l-95%</w:t>
      </w:r>
      <w:r>
        <w:t xml:space="preserve"> </w:t>
      </w:r>
      <w:r>
        <w:t xml:space="preserve">CrI and</w:t>
      </w:r>
      <w:r>
        <w:t xml:space="preserve"> </w:t>
      </w:r>
      <w:r>
        <w:rPr>
          <w:rStyle w:val="VerbatimChar"/>
        </w:rPr>
        <w:t xml:space="preserve">u-95%</w:t>
      </w:r>
      <w:r>
        <w:t xml:space="preserve"> </w:t>
      </w:r>
      <w:r>
        <w:t xml:space="preserve">CrI) based on posterior quantiles</w:t>
      </w:r>
      <w:r>
        <w:t xml:space="preserve"> </w:t>
      </w:r>
      <w:r>
        <w:t xml:space="preserve">Bürkner (2017, p. 11)</w:t>
      </w:r>
      <w:r>
        <w:t xml:space="preserve">. For symmetrical posterior distributions (e.g., Gaussian distributions), this interval coincides with the Highest Density Interval (HDI). To calculate the exact 95% HDI of a posterior distribution, we can use the</w:t>
      </w:r>
      <w:r>
        <w:t xml:space="preserve"> </w:t>
      </w:r>
      <w:r>
        <w:rPr>
          <w:rStyle w:val="VerbatimChar"/>
        </w:rPr>
        <w:t xml:space="preserve">hdi()</w:t>
      </w:r>
      <w:r>
        <w:t xml:space="preserve"> </w:t>
      </w:r>
      <w:r>
        <w:t xml:space="preserve">function from the</w:t>
      </w:r>
      <w:r>
        <w:t xml:space="preserve"> </w:t>
      </w:r>
      <w:r>
        <w:rPr>
          <w:rStyle w:val="VerbatimChar"/>
        </w:rPr>
        <w:t xml:space="preserve">bayestestR</w:t>
      </w:r>
      <w:r>
        <w:t xml:space="preserve"> </w:t>
      </w:r>
      <w:r>
        <w:t xml:space="preserve">package. Following</w:t>
      </w:r>
      <w:r>
        <w:t xml:space="preserve"> </w:t>
      </w:r>
      <w:r>
        <w:t xml:space="preserve">Kruschke (2015, p. 342)</w:t>
      </w:r>
      <w:r>
        <w:t xml:space="preserve">, I favor HDIs over CrIs, as HDIs represent the narrowest interval containing the most probable values, offering a more intuitive interpretation, especially when dealing with skewed distributions—although such skewness is not a concern in the present paper.</w:t>
      </w:r>
    </w:p>
    <w:p>
      <w:pPr>
        <w:pStyle w:val="BodyText"/>
      </w:pPr>
      <w:r>
        <w:t xml:space="preserve">Next, we see</w:t>
      </w:r>
      <w:r>
        <w:t xml:space="preserve"> </w:t>
      </w:r>
      <w:r>
        <w:rPr>
          <w:rStyle w:val="VerbatimChar"/>
        </w:rPr>
        <w:t xml:space="preserve">Rhat</w:t>
      </w:r>
      <w:r>
        <w:t xml:space="preserve"> </w:t>
      </w:r>
      <w:r>
        <w:t xml:space="preserve">(</w:t>
      </w:r>
      <m:oMath>
        <m:acc>
          <m:accPr>
            <m:chr m:val="̂"/>
          </m:accPr>
          <m:e>
            <m:r>
              <m:t>R</m:t>
            </m:r>
          </m:e>
        </m:acc>
      </m:oMath>
      <w:r>
        <w:t xml:space="preserve"> </w:t>
      </w:r>
      <w:r>
        <w:t xml:space="preserve">should be</w:t>
      </w:r>
      <w:r>
        <w:t xml:space="preserve"> </w:t>
      </w:r>
      <m:oMath>
        <m:r>
          <m:rPr>
            <m:sty m:val="p"/>
          </m:rPr>
          <m:t>&lt;</m:t>
        </m:r>
        <m:r>
          <m:t>1.01</m:t>
        </m:r>
      </m:oMath>
      <w:r>
        <w:t xml:space="preserve">),</w:t>
      </w:r>
      <w:r>
        <w:rPr>
          <w:rStyle w:val="FootnoteReference"/>
        </w:rPr>
        <w:footnoteReference w:id="46"/>
      </w:r>
      <w:r>
        <w:t xml:space="preserve"> </w:t>
      </w:r>
      <w:r>
        <w:t xml:space="preserve">which tells us that the model has converged. Finally, we see two columns showing us the effective sample size (ESS) of our posterior samples: the bulk ESS corresponds to the main body of the posterior distribution, while the tail ESS corresponds to the tails (i.e., more extreme values) in the posterior distribution. By default, each of the four chains draws 2,000 samples from the posterior. However, we use a</w:t>
      </w:r>
      <w:r>
        <w:t xml:space="preserve"> </w:t>
      </w:r>
      <w:r>
        <w:rPr>
          <w:rStyle w:val="VerbatimChar"/>
        </w:rPr>
        <w:t xml:space="preserve">warmup</w:t>
      </w:r>
      <w:r>
        <w:t xml:space="preserve"> </w:t>
      </w:r>
      <w:r>
        <w:t xml:space="preserve">of 1,000 samples. As a result, only 1,000 samples from each chain are actually used here, totaling 4,000 samples. Of these 4,000, however, some</w:t>
      </w:r>
      <w:r>
        <w:t xml:space="preserve"> </w:t>
      </w:r>
      <w:r>
        <w:t xml:space="preserve">“steps”</w:t>
      </w:r>
      <w:r>
        <w:t xml:space="preserve"> </w:t>
      </w:r>
      <w:r>
        <w:t xml:space="preserve">in our random walk will be correlated with one another, which reduces the amount of information they provide about the parameter space. Therefore, we should prioritize uncorrelated steps, which results in a proper subset of the 4,000 steps in question. That’s why all the numbers in both ESS columns are less than 4,000. There is no universal rule of thumb as to how large the ESS should be (higher is always better, of course), but</w:t>
      </w:r>
      <w:r>
        <w:t xml:space="preserve"> </w:t>
      </w:r>
      <w:r>
        <w:t xml:space="preserve">100 samples per chain is a common recommendation</w:t>
      </w:r>
      <w:r>
        <w:t xml:space="preserve">. If the ESS is lower than 400, we could increase the number of steps by adding</w:t>
      </w:r>
      <w:r>
        <w:t xml:space="preserve"> </w:t>
      </w:r>
      <w:r>
        <w:rPr>
          <w:rStyle w:val="VerbatimChar"/>
        </w:rPr>
        <w:t xml:space="preserve">iter = 4000</w:t>
      </w:r>
      <w:r>
        <w:t xml:space="preserve">, for example, which would give us 3,000 post-</w:t>
      </w:r>
      <w:r>
        <w:rPr>
          <w:rStyle w:val="VerbatimChar"/>
        </w:rPr>
        <w:t xml:space="preserve">warmup</w:t>
      </w:r>
      <w:r>
        <w:t xml:space="preserve"> </w:t>
      </w:r>
      <w:r>
        <w:t xml:space="preserve">steps for each chain.</w:t>
      </w:r>
      <w:r>
        <w:rPr>
          <w:rStyle w:val="FootnoteReference"/>
        </w:rPr>
        <w:footnoteReference w:id="47"/>
      </w:r>
      <w:r>
        <w:t xml:space="preserve"> </w:t>
      </w:r>
      <w:r>
        <w:t xml:space="preserve">We can also change the number of</w:t>
      </w:r>
      <w:r>
        <w:t xml:space="preserve"> </w:t>
      </w:r>
      <w:r>
        <w:rPr>
          <w:rStyle w:val="VerbatimChar"/>
        </w:rPr>
        <w:t xml:space="preserve">warmup</w:t>
      </w:r>
      <w:r>
        <w:t xml:space="preserve"> </w:t>
      </w:r>
      <w:r>
        <w:t xml:space="preserve">steps in the model, allowing it to</w:t>
      </w:r>
      <w:r>
        <w:t xml:space="preserve"> </w:t>
      </w:r>
      <w:r>
        <w:t xml:space="preserve">“settle”</w:t>
      </w:r>
      <w:r>
        <w:t xml:space="preserve"> </w:t>
      </w:r>
      <w:r>
        <w:t xml:space="preserve">in more informative regions of parameter values before extracting the samples we will actually use.</w:t>
      </w:r>
    </w:p>
    <w:p>
      <w:pPr>
        <w:pStyle w:val="BodyText"/>
      </w:pPr>
      <w:r>
        <w:t xml:space="preserve">The reader will notice that the estimates in our Bayesian model are not very different from the estimates in our Frequentist model, run in</w:t>
      </w:r>
      <w:r>
        <w:t xml:space="preserve"> </w:t>
      </w:r>
      <w:hyperlink w:anchor="lst-code2b">
        <w:r>
          <w:rPr>
            <w:rStyle w:val="Hyperlink"/>
          </w:rPr>
          <w:t xml:space="preserve">Listing 1</w:t>
        </w:r>
      </w:hyperlink>
      <w:r>
        <w:t xml:space="preserve">. This makes sense, since our priors are only mildly informative. Ultimately, the posterior distribution in our model is (mostly) driven by the patterns in the data. In a more realistic application, we would attempt to set more precise priors given what we know from the literature on the topic of interest.</w:t>
      </w:r>
    </w:p>
    <w:p>
      <w:pPr>
        <w:pStyle w:val="BodyText"/>
      </w:pPr>
      <w:r>
        <w:t xml:space="preserve">While tables can be useful to inspect the results from our model, figures are often a better option as they show the actual posterior distribution for each parameter in our model. In this paper, I will employ a specific type of figure, shown in</w:t>
      </w:r>
      <w:r>
        <w:t xml:space="preserve"> </w:t>
      </w:r>
      <w:hyperlink w:anchor="fig-bFit1">
        <w:r>
          <w:rPr>
            <w:rStyle w:val="Hyperlink"/>
          </w:rPr>
          <w:t xml:space="preserve">Figure 4</w:t>
        </w:r>
      </w:hyperlink>
      <w:r>
        <w:t xml:space="preserve">. The figure contains different pieces of information, some of which are standard in Bayesian models. First, note that a dashed line marks zero. Around that line, we find the ROPE. Now, we can assess the posterior distribution and the HDI of each parameter (our primary goal) as well as their location relative to the ROPE (our secondary goal). As usual, all conditions in the figure must be interpreted relative to</w:t>
      </w:r>
      <w:r>
        <w:t xml:space="preserve"> </w:t>
      </w:r>
      <w:r>
        <w:rPr>
          <w:rStyle w:val="VerbatimChar"/>
        </w:rPr>
        <w:t xml:space="preserve">c1</w:t>
      </w:r>
      <w:r>
        <w:t xml:space="preserve"> </w:t>
      </w:r>
      <w:r>
        <w:t xml:space="preserve">(our intercept; not shown). The central portion of each distribution represents the most likely values given the data. It is important to reiterate that the HDIs in the figure are a summary statistic from actual probability distributions, unlike Frequentist confidence intervals. As such, values at the tails of the HDIs are less likely than values at the center of the HDIs. The figure therefore gives us a comprehensive view of effect sizes and parameter estimation.</w:t>
      </w:r>
    </w:p>
    <w:p>
      <w:pPr>
        <w:pStyle w:val="BodyText"/>
      </w:pPr>
      <w:r>
        <w:t xml:space="preserve">Next, we can move to our secondary goal.</w:t>
      </w:r>
      <w:r>
        <w:t xml:space="preserve"> </w:t>
      </w:r>
      <w:r>
        <w:t xml:space="preserve">The reader will notice that all of our posterior distributions include zero in their 95% HDI.</w:t>
      </w:r>
      <w:r>
        <w:t xml:space="preserve"> </w:t>
      </w:r>
      <w:r>
        <w:t xml:space="preserve">Logically, this means that every posterior in</w:t>
      </w:r>
      <w:r>
        <w:t xml:space="preserve"> </w:t>
      </w:r>
      <w:hyperlink w:anchor="fig-bFit1">
        <w:r>
          <w:rPr>
            <w:rStyle w:val="Hyperlink"/>
          </w:rPr>
          <w:t xml:space="preserve">Figure 4</w:t>
        </w:r>
      </w:hyperlink>
      <w:r>
        <w:t xml:space="preserve"> </w:t>
      </w:r>
      <w:r>
        <w:t xml:space="preserve">is at least in part within the ROPE. Simply put, zero is a credible parameter value representing the difference between each of</w:t>
      </w:r>
      <w:r>
        <w:t xml:space="preserve"> </w:t>
      </w:r>
      <w:r>
        <w:rPr>
          <w:rStyle w:val="VerbatimChar"/>
        </w:rPr>
        <w:t xml:space="preserve">c2-c5</w:t>
      </w:r>
      <w:r>
        <w:t xml:space="preserve"> </w:t>
      </w:r>
      <w:r>
        <w:t xml:space="preserve">and</w:t>
      </w:r>
      <w:r>
        <w:t xml:space="preserve"> </w:t>
      </w:r>
      <w:r>
        <w:rPr>
          <w:rStyle w:val="VerbatimChar"/>
        </w:rPr>
        <w:t xml:space="preserve">c1</w:t>
      </w:r>
      <w:r>
        <w:t xml:space="preserve">. That being said, we should also observe the</w:t>
      </w:r>
      <w:r>
        <w:t xml:space="preserve"> </w:t>
      </w:r>
      <w:r>
        <w:rPr>
          <w:i/>
          <w:iCs/>
        </w:rPr>
        <w:t xml:space="preserve">how much</w:t>
      </w:r>
      <w:r>
        <w:t xml:space="preserve"> </w:t>
      </w:r>
      <w:r>
        <w:t xml:space="preserve">of each distribution is within the ROPE.</w:t>
      </w:r>
      <w:r>
        <w:t xml:space="preserve"> </w:t>
      </w:r>
      <w:r>
        <w:t xml:space="preserve">For example, as we compare the distributions of</w:t>
      </w:r>
      <w:r>
        <w:t xml:space="preserve"> </w:t>
      </w:r>
      <w:r>
        <w:rPr>
          <w:rStyle w:val="VerbatimChar"/>
        </w:rPr>
        <w:t xml:space="preserve">c5</w:t>
      </w:r>
      <w:r>
        <w:t xml:space="preserve"> </w:t>
      </w:r>
      <w:r>
        <w:t xml:space="preserve">and</w:t>
      </w:r>
      <w:r>
        <w:t xml:space="preserve"> </w:t>
      </w:r>
      <w:r>
        <w:rPr>
          <w:rStyle w:val="VerbatimChar"/>
        </w:rPr>
        <w:t xml:space="preserve">c4</w:t>
      </w:r>
      <w:r>
        <w:t xml:space="preserve">, we can see that a null effect is more likely for</w:t>
      </w:r>
      <w:r>
        <w:t xml:space="preserve"> </w:t>
      </w:r>
      <w:r>
        <w:rPr>
          <w:rStyle w:val="VerbatimChar"/>
        </w:rPr>
        <w:t xml:space="preserve">c4</w:t>
      </w:r>
      <w:r>
        <w:t xml:space="preserve"> </w:t>
      </w:r>
      <w:r>
        <w:t xml:space="preserve">than for</w:t>
      </w:r>
      <w:r>
        <w:t xml:space="preserve"> </w:t>
      </w:r>
      <w:r>
        <w:rPr>
          <w:rStyle w:val="VerbatimChar"/>
        </w:rPr>
        <w:t xml:space="preserve">c5</w:t>
      </w:r>
      <w:r>
        <w:t xml:space="preserve">, even though we cannot accept any null effect for the slopes in question, given that no HDI is entirely within the ROPE.</w:t>
      </w:r>
    </w:p>
    <w:tbl>
      <w:tblPr>
        <w:tblStyle w:val="Table"/>
        <w:tblW w:type="pct" w:w="5000"/>
        <w:tblLayout w:type="fixed"/>
        <w:tblLook w:firstRow="0" w:lastRow="0" w:firstColumn="0" w:lastColumn="0" w:noHBand="0" w:noVBand="0" w:val="0000"/>
      </w:tblPr>
      <w:tblGrid>
        <w:gridCol w:w="7920"/>
      </w:tblGrid>
      <w:tr>
        <w:tc>
          <w:tcPr/>
          <w:bookmarkStart w:id="51" w:name="fig-bFit1"/>
          <w:p>
            <w:pPr>
              <w:pStyle w:val="Compact"/>
              <w:jc w:val="center"/>
            </w:pPr>
            <w:r>
              <w:drawing>
                <wp:inline>
                  <wp:extent cx="3566160" cy="2139696"/>
                  <wp:effectExtent b="0" l="0" r="0" t="0"/>
                  <wp:docPr descr="" title="" id="49" name="Picture"/>
                  <a:graphic>
                    <a:graphicData uri="http://schemas.openxmlformats.org/drawingml/2006/picture">
                      <pic:pic>
                        <pic:nvPicPr>
                          <pic:cNvPr descr="multcomp_doc_files/figure-docx/fig-bFit1-1.png" id="50" name="Picture"/>
                          <pic:cNvPicPr>
                            <a:picLocks noChangeArrowheads="1" noChangeAspect="1"/>
                          </pic:cNvPicPr>
                        </pic:nvPicPr>
                        <pic:blipFill>
                          <a:blip r:embed="rId48"/>
                          <a:stretch>
                            <a:fillRect/>
                          </a:stretch>
                        </pic:blipFill>
                        <pic:spPr bwMode="auto">
                          <a:xfrm>
                            <a:off x="0" y="0"/>
                            <a:ext cx="3566160" cy="2139696"/>
                          </a:xfrm>
                          <a:prstGeom prst="rect">
                            <a:avLst/>
                          </a:prstGeom>
                          <a:noFill/>
                          <a:ln w="9525">
                            <a:noFill/>
                            <a:headEnd/>
                            <a:tailEnd/>
                          </a:ln>
                        </pic:spPr>
                      </pic:pic>
                    </a:graphicData>
                  </a:graphic>
                </wp:inline>
              </w:drawing>
            </w:r>
          </w:p>
          <w:p>
            <w:pPr>
              <w:jc w:val="center"/>
            </w:pPr>
            <w:pPr>
              <w:jc w:val="left"/>
              <w:spacing w:before="200"/>
              <w:pStyle w:val="ImageCaption"/>
            </w:pPr>
            <w:r>
              <w:t xml:space="preserve">Figure 4: Posterior distributions from hierarchical model with associated 95% HDIs. Region of practical equivalence is represented by shaded area around zero.</w:t>
            </w:r>
          </w:p>
          <w:bookmarkEnd w:id="51"/>
        </w:tc>
      </w:tr>
    </w:tbl>
    <w:bookmarkEnd w:id="52"/>
    <w:bookmarkStart w:id="68" w:name="multiple-comparisons"/>
    <w:p>
      <w:pPr>
        <w:pStyle w:val="Heading2"/>
      </w:pPr>
      <w:r>
        <w:t xml:space="preserve">Multiple comparisons</w:t>
      </w:r>
    </w:p>
    <w:p>
      <w:pPr>
        <w:pStyle w:val="FirstParagraph"/>
      </w:pPr>
      <w:r>
        <w:t xml:space="preserve">In this section, we will use our hierarchical model</w:t>
      </w:r>
      <w:r>
        <w:t xml:space="preserve"> </w:t>
      </w:r>
      <w:r>
        <w:rPr>
          <w:rStyle w:val="VerbatimChar"/>
        </w:rPr>
        <w:t xml:space="preserve">bFit1</w:t>
      </w:r>
      <w:r>
        <w:t xml:space="preserve"> </w:t>
      </w:r>
      <w:r>
        <w:t xml:space="preserve">to extract all the multiple comparisons we wish. There are at least two ways of accomplishing this task. The easy (automatic) way involves a function called</w:t>
      </w:r>
      <w:r>
        <w:t xml:space="preserve"> </w:t>
      </w:r>
      <w:r>
        <w:rPr>
          <w:rStyle w:val="VerbatimChar"/>
        </w:rPr>
        <w:t xml:space="preserve">hypothesis()</w:t>
      </w:r>
      <w:r>
        <w:t xml:space="preserve"> </w:t>
      </w:r>
      <w:r>
        <w:t xml:space="preserve">from</w:t>
      </w:r>
      <w:r>
        <w:t xml:space="preserve"> </w:t>
      </w:r>
      <w:r>
        <w:rPr>
          <w:rStyle w:val="VerbatimChar"/>
        </w:rPr>
        <w:t xml:space="preserve">brms</w:t>
      </w:r>
      <w:r>
        <w:t xml:space="preserve">.</w:t>
      </w:r>
      <w:r>
        <w:t xml:space="preserve"> </w:t>
      </w:r>
      <w:r>
        <w:t xml:space="preserve">While this function does provide us with estimates on any contrast of interest, its main application is in hypothesis testing, i.e., our secondary goal here—see example in</w:t>
      </w:r>
      <w:r>
        <w:t xml:space="preserve"> </w:t>
      </w:r>
      <w:r>
        <w:t xml:space="preserve">Veríssimo (2024)</w:t>
      </w:r>
      <w:r>
        <w:t xml:space="preserve"> </w:t>
      </w:r>
      <w:r>
        <w:t xml:space="preserve">(p. 14). Still, because at times this is what is needed, and because it is an easy approach to implement, we will start by exploring the function in question in</w:t>
      </w:r>
      <w:r>
        <w:t xml:space="preserve"> </w:t>
      </w:r>
      <w:hyperlink w:anchor="sec-comp-null">
        <w:r>
          <w:rPr>
            <w:rStyle w:val="Hyperlink"/>
          </w:rPr>
          <w:t xml:space="preserve">Section 4.2.1</w:t>
        </w:r>
      </w:hyperlink>
      <w:r>
        <w:t xml:space="preserve">. Then, in</w:t>
      </w:r>
      <w:r>
        <w:t xml:space="preserve"> </w:t>
      </w:r>
      <w:hyperlink w:anchor="sec-comp-est">
        <w:r>
          <w:rPr>
            <w:rStyle w:val="Hyperlink"/>
          </w:rPr>
          <w:t xml:space="preserve">Section 4.2.2</w:t>
        </w:r>
      </w:hyperlink>
      <w:r>
        <w:t xml:space="preserve">, we will work our way through a more manual approach that will focus on our primary goal here, namely, parameter estimation.</w:t>
      </w:r>
      <w:r>
        <w:t xml:space="preserve"> </w:t>
      </w:r>
    </w:p>
    <w:bookmarkStart w:id="60" w:name="sec-comp-null"/>
    <w:p>
      <w:pPr>
        <w:pStyle w:val="Heading3"/>
      </w:pPr>
      <w:r>
        <w:t xml:space="preserve">Comparisons via hypothesis testing</w:t>
      </w:r>
    </w:p>
    <w:p>
      <w:pPr>
        <w:pStyle w:val="FirstParagraph"/>
      </w:pPr>
      <w:r>
        <w:t xml:space="preserve">Given the levels of our factor</w:t>
      </w:r>
      <w:r>
        <w:t xml:space="preserve"> </w:t>
      </w:r>
      <w:r>
        <w:rPr>
          <w:rStyle w:val="VerbatimChar"/>
        </w:rPr>
        <w:t xml:space="preserve">cond</w:t>
      </w:r>
      <w:r>
        <w:t xml:space="preserve">, we will begin by defining a null hypothesis, represented in</w:t>
      </w:r>
      <w:r>
        <w:t xml:space="preserve"> </w:t>
      </w:r>
      <w:hyperlink w:anchor="lst-hypothesis">
        <w:r>
          <w:rPr>
            <w:rStyle w:val="Hyperlink"/>
          </w:rPr>
          <w:t xml:space="preserve">Listing 9</w:t>
        </w:r>
      </w:hyperlink>
      <w:r>
        <w:t xml:space="preserve"> </w:t>
      </w:r>
      <w:r>
        <w:t xml:space="preserve">by the</w:t>
      </w:r>
      <w:r>
        <w:t xml:space="preserve"> </w:t>
      </w:r>
      <w:r>
        <w:rPr>
          <w:rStyle w:val="VerbatimChar"/>
        </w:rPr>
        <w:t xml:space="preserve">contrasts</w:t>
      </w:r>
      <w:r>
        <w:t xml:space="preserve"> </w:t>
      </w:r>
      <w:r>
        <w:t xml:space="preserve">variable. Here, we simulate three null hypotheses by stating that the posterior distributions of</w:t>
      </w:r>
      <w:r>
        <w:t xml:space="preserve"> </w:t>
      </w:r>
      <w:r>
        <w:rPr>
          <w:rStyle w:val="VerbatimChar"/>
        </w:rPr>
        <w:t xml:space="preserve">c3</w:t>
      </w:r>
      <w:r>
        <w:t xml:space="preserve"> </w:t>
      </w:r>
      <w:r>
        <w:t xml:space="preserve">and</w:t>
      </w:r>
      <w:r>
        <w:t xml:space="preserve"> </w:t>
      </w:r>
      <w:r>
        <w:rPr>
          <w:rStyle w:val="VerbatimChar"/>
        </w:rPr>
        <w:t xml:space="preserve">c2</w:t>
      </w:r>
      <w:r>
        <w:t xml:space="preserve"> </w:t>
      </w:r>
      <w:r>
        <w:t xml:space="preserve">are equal, as are the posteriors of</w:t>
      </w:r>
      <w:r>
        <w:t xml:space="preserve"> </w:t>
      </w:r>
      <w:r>
        <w:rPr>
          <w:rStyle w:val="VerbatimChar"/>
        </w:rPr>
        <w:t xml:space="preserve">c5</w:t>
      </w:r>
      <w:r>
        <w:t xml:space="preserve"> </w:t>
      </w:r>
      <w:r>
        <w:t xml:space="preserve">and</w:t>
      </w:r>
      <w:r>
        <w:t xml:space="preserve"> </w:t>
      </w:r>
      <w:r>
        <w:rPr>
          <w:rStyle w:val="VerbatimChar"/>
        </w:rPr>
        <w:t xml:space="preserve">c4</w:t>
      </w:r>
      <w:r>
        <w:t xml:space="preserve">, and of</w:t>
      </w:r>
      <w:r>
        <w:t xml:space="preserve"> </w:t>
      </w:r>
      <w:r>
        <w:rPr>
          <w:rStyle w:val="VerbatimChar"/>
        </w:rPr>
        <w:t xml:space="preserve">c4</w:t>
      </w:r>
      <w:r>
        <w:t xml:space="preserve"> </w:t>
      </w:r>
      <w:r>
        <w:t xml:space="preserve">and</w:t>
      </w:r>
      <w:r>
        <w:t xml:space="preserve"> </w:t>
      </w:r>
      <w:r>
        <w:rPr>
          <w:rStyle w:val="VerbatimChar"/>
        </w:rPr>
        <w:t xml:space="preserve">c3</w:t>
      </w:r>
      <w:r>
        <w:t xml:space="preserve">. We can then use</w:t>
      </w:r>
      <w:r>
        <w:t xml:space="preserve"> </w:t>
      </w:r>
      <w:r>
        <w:rPr>
          <w:rStyle w:val="VerbatimChar"/>
        </w:rPr>
        <w:t xml:space="preserve">hypothesis()</w:t>
      </w:r>
      <w:r>
        <w:t xml:space="preserve"> </w:t>
      </w:r>
      <w:r>
        <w:t xml:space="preserve">to test our model against said hypotheses using a given posterior probability threshold, the</w:t>
      </w:r>
      <w:r>
        <w:t xml:space="preserve"> </w:t>
      </w:r>
      <w:r>
        <w:rPr>
          <w:rStyle w:val="VerbatimChar"/>
        </w:rPr>
        <w:t xml:space="preserve">alpha</w:t>
      </w:r>
      <w:r>
        <w:rPr>
          <w:rStyle w:val="FootnoteReference"/>
        </w:rPr>
        <w:footnoteReference w:id="53"/>
      </w:r>
      <w:r>
        <w:t xml:space="preserve"> </w:t>
      </w:r>
      <w:r>
        <w:t xml:space="preserve">argument in the function</w:t>
      </w:r>
      <w:r>
        <w:t xml:space="preserve"> </w:t>
      </w:r>
      <w:r>
        <w:rPr>
          <w:rStyle w:val="VerbatimChar"/>
        </w:rPr>
        <w:t xml:space="preserve">hypothesis()</w:t>
      </w:r>
      <w:r>
        <w:t xml:space="preserve">.</w:t>
      </w:r>
      <w:r>
        <w:rPr>
          <w:rStyle w:val="FootnoteReference"/>
        </w:rPr>
        <w:footnoteReference w:id="54"/>
      </w:r>
      <w:r>
        <w:t xml:space="preserve"> </w:t>
      </w:r>
      <w:r>
        <w:t xml:space="preserve"> </w:t>
      </w:r>
      <w:r>
        <w:t xml:space="preserve">We could also include directional hypotheses such as</w:t>
      </w:r>
      <w:r>
        <w:t xml:space="preserve"> </w:t>
      </w:r>
      <w:r>
        <w:rPr>
          <w:rStyle w:val="VerbatimChar"/>
        </w:rPr>
        <w:t xml:space="preserve">condc4 &gt; condc2</w:t>
      </w:r>
      <w:r>
        <w:t xml:space="preserve">.</w:t>
      </w:r>
    </w:p>
    <w:tbl>
      <w:tblPr>
        <w:tblStyle w:val="Table"/>
        <w:tblW w:type="pct" w:w="5000"/>
        <w:tblLayout w:type="fixed"/>
        <w:tblLook w:firstRow="0" w:lastRow="0" w:firstColumn="0" w:lastColumn="0" w:noHBand="0" w:noVBand="0" w:val="0000"/>
      </w:tblPr>
      <w:tblGrid>
        <w:gridCol w:w="7920"/>
      </w:tblGrid>
      <w:tr>
        <w:tc>
          <w:tcPr/>
          <w:bookmarkStart w:id="55" w:name="lst-hypothesis"/>
          <w:p>
            <w:pPr>
              <w:jc w:val="center"/>
            </w:pPr>
            <w:pPr>
              <w:jc w:val="left"/>
              <w:spacing w:before="200"/>
              <w:pStyle w:val="ImageCaption"/>
            </w:pPr>
            <w:r>
              <w:t xml:space="preserve">Listing 9: Multiple comparisons with the</w:t>
            </w:r>
            <w:r>
              <w:t xml:space="preserve"> </w:t>
            </w:r>
            <w:r>
              <w:rPr>
                <w:rStyle w:val="VerbatimChar"/>
              </w:rPr>
              <w:t xml:space="preserve">hypothesis()</w:t>
            </w:r>
            <w:r>
              <w:t xml:space="preserve"> </w:t>
            </w:r>
            <w:r>
              <w:t xml:space="preserve">function from</w:t>
            </w:r>
            <w:r>
              <w:t xml:space="preserve"> </w:t>
            </w:r>
            <w:r>
              <w:rPr>
                <w:rStyle w:val="VerbatimChar"/>
              </w:rPr>
              <w:t xml:space="preserve">brms</w:t>
            </w:r>
            <w:r>
              <w:t xml:space="preserve">.</w:t>
            </w:r>
          </w:p>
          <w:p>
            <w:pPr>
              <w:pStyle w:val="SourceCode"/>
              <w:jc w:val="center"/>
            </w:pPr>
            <w:r>
              <w:rPr>
                <w:rStyle w:val="NormalTok"/>
              </w:rPr>
              <w:t xml:space="preserve">contrasts </w:t>
            </w:r>
            <w:r>
              <w:rPr>
                <w:rStyle w:val="OtherTok"/>
              </w:rPr>
              <w:t xml:space="preserve">=</w:t>
            </w:r>
            <w:r>
              <w:rPr>
                <w:rStyle w:val="NormalTok"/>
              </w:rPr>
              <w:t xml:space="preserve"> </w:t>
            </w:r>
            <w:r>
              <w:rPr>
                <w:rStyle w:val="FunctionTok"/>
              </w:rPr>
              <w:t xml:space="preserve">c</w:t>
            </w:r>
            <w:r>
              <w:rPr>
                <w:rStyle w:val="NormalTok"/>
              </w:rPr>
              <w:t xml:space="preserve">(</w:t>
            </w:r>
            <w:r>
              <w:rPr>
                <w:rStyle w:val="StringTok"/>
              </w:rPr>
              <w:t xml:space="preserve">"condc3 = condc2"</w:t>
            </w:r>
            <w:r>
              <w:rPr>
                <w:rStyle w:val="NormalTok"/>
              </w:rPr>
              <w:t xml:space="preserve">,</w:t>
            </w:r>
            <w:r>
              <w:br/>
            </w:r>
            <w:r>
              <w:rPr>
                <w:rStyle w:val="NormalTok"/>
              </w:rPr>
              <w:t xml:space="preserve">              </w:t>
            </w:r>
            <w:r>
              <w:rPr>
                <w:rStyle w:val="StringTok"/>
              </w:rPr>
              <w:t xml:space="preserve">"condc5 = condc4"</w:t>
            </w:r>
            <w:r>
              <w:rPr>
                <w:rStyle w:val="NormalTok"/>
              </w:rPr>
              <w:t xml:space="preserve">,</w:t>
            </w:r>
            <w:r>
              <w:br/>
            </w:r>
            <w:r>
              <w:rPr>
                <w:rStyle w:val="NormalTok"/>
              </w:rPr>
              <w:t xml:space="preserve">              </w:t>
            </w:r>
            <w:r>
              <w:rPr>
                <w:rStyle w:val="StringTok"/>
              </w:rPr>
              <w:t xml:space="preserve">"condc4 = condc3"</w:t>
            </w:r>
            <w:r>
              <w:rPr>
                <w:rStyle w:val="NormalTok"/>
              </w:rPr>
              <w:t xml:space="preserve">)</w:t>
            </w:r>
            <w:r>
              <w:br/>
            </w:r>
            <w:r>
              <w:br/>
            </w:r>
            <w:r>
              <w:rPr>
                <w:rStyle w:val="NormalTok"/>
              </w:rPr>
              <w:t xml:space="preserve">h </w:t>
            </w:r>
            <w:r>
              <w:rPr>
                <w:rStyle w:val="OtherTok"/>
              </w:rPr>
              <w:t xml:space="preserve">=</w:t>
            </w:r>
            <w:r>
              <w:rPr>
                <w:rStyle w:val="NormalTok"/>
              </w:rPr>
              <w:t xml:space="preserve"> </w:t>
            </w:r>
            <w:r>
              <w:rPr>
                <w:rStyle w:val="FunctionTok"/>
              </w:rPr>
              <w:t xml:space="preserve">hypothesis</w:t>
            </w:r>
            <w:r>
              <w:rPr>
                <w:rStyle w:val="NormalTok"/>
              </w:rPr>
              <w:t xml:space="preserve">(bFit1, </w:t>
            </w:r>
            <w:r>
              <w:rPr>
                <w:rStyle w:val="AttributeTok"/>
              </w:rPr>
              <w:t xml:space="preserve">hypothesis =</w:t>
            </w:r>
            <w:r>
              <w:rPr>
                <w:rStyle w:val="NormalTok"/>
              </w:rPr>
              <w:t xml:space="preserve"> contrasts, </w:t>
            </w:r>
            <w:r>
              <w:rPr>
                <w:rStyle w:val="AttributeTok"/>
              </w:rPr>
              <w:t xml:space="preserve">alpha =</w:t>
            </w:r>
            <w:r>
              <w:rPr>
                <w:rStyle w:val="NormalTok"/>
              </w:rPr>
              <w:t xml:space="preserve"> </w:t>
            </w:r>
            <w:r>
              <w:rPr>
                <w:rStyle w:val="FloatTok"/>
              </w:rPr>
              <w:t xml:space="preserve">0.05</w:t>
            </w:r>
            <w:r>
              <w:rPr>
                <w:rStyle w:val="NormalTok"/>
              </w:rPr>
              <w:t xml:space="preserve">)</w:t>
            </w:r>
            <w:r>
              <w:br/>
            </w:r>
            <w:r>
              <w:br/>
            </w:r>
            <w:r>
              <w:rPr>
                <w:rStyle w:val="NormalTok"/>
              </w:rPr>
              <w:t xml:space="preserve">h</w:t>
            </w:r>
            <w:r>
              <w:br/>
            </w:r>
            <w:r>
              <w:rPr>
                <w:rStyle w:val="CommentTok"/>
              </w:rPr>
              <w:t xml:space="preserve"># plot(h)</w:t>
            </w:r>
          </w:p>
          <w:bookmarkEnd w:id="55"/>
        </w:tc>
      </w:tr>
    </w:tbl>
    <w:tbl>
      <w:tblPr>
        <w:tblStyle w:val="Table"/>
        <w:tblW w:type="pct" w:w="5000"/>
        <w:tblLayout w:type="fixed"/>
        <w:tblLook w:firstRow="0" w:lastRow="0" w:firstColumn="0" w:lastColumn="0" w:noHBand="0" w:noVBand="0" w:val="0000"/>
      </w:tblPr>
      <w:tblGrid>
        <w:gridCol w:w="7920"/>
      </w:tblGrid>
      <w:tr>
        <w:tc>
          <w:tcPr/>
          <w:bookmarkStart w:id="56" w:name="tbl-hypothesis"/>
          <w:p>
            <w:pPr>
              <w:jc w:val="center"/>
            </w:pPr>
            <w:pPr>
              <w:jc w:val="left"/>
              <w:spacing w:before="200"/>
              <w:pStyle w:val="ImageCaption"/>
            </w:pPr>
            <w:r>
              <w:t xml:space="preserve">Table 3: Simplified output of the</w:t>
            </w:r>
            <w:r>
              <w:t xml:space="preserve"> </w:t>
            </w:r>
            <w:r>
              <w:rPr>
                <w:rStyle w:val="VerbatimChar"/>
              </w:rPr>
              <w:t xml:space="preserve">hypothesis()</w:t>
            </w:r>
            <w:r>
              <w:t xml:space="preserve"> </w:t>
            </w:r>
            <w:r>
              <w:t xml:space="preserve">function from</w:t>
            </w:r>
            <w:r>
              <w:t xml:space="preserve"> </w:t>
            </w:r>
            <w:r>
              <w:rPr>
                <w:rStyle w:val="VerbatimChar"/>
              </w:rPr>
              <w:t xml:space="preserve">brms</w:t>
            </w:r>
            <w:r>
              <w:t xml:space="preserve">.</w:t>
            </w:r>
          </w:p>
          <w:p>
            <w:pPr>
              <w:pStyle w:val="SourceCode"/>
              <w:jc w:val="center"/>
            </w:pPr>
            <w:r>
              <w:rPr>
                <w:rStyle w:val="VerbatimChar"/>
              </w:rPr>
              <w:t xml:space="preserve">#&gt;              Hypothesis Estimate Est.Error CI.Lower CI.Upper Star</w:t>
            </w:r>
            <w:r>
              <w:br/>
            </w:r>
            <w:r>
              <w:rPr>
                <w:rStyle w:val="VerbatimChar"/>
              </w:rPr>
              <w:t xml:space="preserve">#&gt; 1 (condc3)-(condc2) = 0     0.10      0.04     0.02     0.18    *</w:t>
            </w:r>
            <w:r>
              <w:br/>
            </w:r>
            <w:r>
              <w:rPr>
                <w:rStyle w:val="VerbatimChar"/>
              </w:rPr>
              <w:t xml:space="preserve">#&gt; 2 (condc5)-(condc4) = 0    -0.09      0.05    -0.18     0.00    *</w:t>
            </w:r>
            <w:r>
              <w:br/>
            </w:r>
            <w:r>
              <w:rPr>
                <w:rStyle w:val="VerbatimChar"/>
              </w:rPr>
              <w:t xml:space="preserve">#&gt; 3 (condc4)-(condc3) = 0    -0.02      0.05    -0.12     0.07</w:t>
            </w:r>
          </w:p>
          <w:bookmarkEnd w:id="56"/>
        </w:tc>
      </w:tr>
    </w:tbl>
    <w:p>
      <w:pPr>
        <w:pStyle w:val="FirstParagraph"/>
      </w:pPr>
      <w:r>
        <w:t xml:space="preserve">To understand what the function</w:t>
      </w:r>
      <w:r>
        <w:t xml:space="preserve"> </w:t>
      </w:r>
      <w:r>
        <w:rPr>
          <w:rStyle w:val="VerbatimChar"/>
        </w:rPr>
        <w:t xml:space="preserve">hypothesis()</w:t>
      </w:r>
      <w:r>
        <w:t xml:space="preserve"> </w:t>
      </w:r>
      <w:r>
        <w:t xml:space="preserve">is doing, let us pick the hypothesis</w:t>
      </w:r>
      <w:r>
        <w:t xml:space="preserve"> </w:t>
      </w:r>
      <w:r>
        <w:rPr>
          <w:rStyle w:val="VerbatimChar"/>
        </w:rPr>
        <w:t xml:space="preserve">condc3 = condc2</w:t>
      </w:r>
      <w:r>
        <w:t xml:space="preserve"> </w:t>
      </w:r>
      <w:r>
        <w:t xml:space="preserve">as an example. The function takes the posterior distribution of each parameter (</w:t>
      </w:r>
      <w:r>
        <w:rPr>
          <w:rStyle w:val="VerbatimChar"/>
        </w:rPr>
        <w:t xml:space="preserve">c3</w:t>
      </w:r>
      <w:r>
        <w:t xml:space="preserve"> </w:t>
      </w:r>
      <w:r>
        <w:t xml:space="preserve">and</w:t>
      </w:r>
      <w:r>
        <w:t xml:space="preserve"> </w:t>
      </w:r>
      <w:r>
        <w:rPr>
          <w:rStyle w:val="VerbatimChar"/>
        </w:rPr>
        <w:t xml:space="preserve">c2</w:t>
      </w:r>
      <w:r>
        <w:t xml:space="preserve">) and generates the posterior distribution for their difference. Then it calculates the credible interval for this new posterior distribution (here, the interval is 95% given our threshold defined by</w:t>
      </w:r>
      <w:r>
        <w:t xml:space="preserve"> </w:t>
      </w:r>
      <w:r>
        <w:rPr>
          <w:rStyle w:val="VerbatimChar"/>
        </w:rPr>
        <w:t xml:space="preserve">alpha</w:t>
      </w:r>
      <w:r>
        <w:t xml:space="preserve">). If zero is</w:t>
      </w:r>
      <w:r>
        <w:t xml:space="preserve"> </w:t>
      </w:r>
      <w:r>
        <w:rPr>
          <w:i/>
          <w:iCs/>
        </w:rPr>
        <w:t xml:space="preserve">not</w:t>
      </w:r>
      <w:r>
        <w:t xml:space="preserve"> </w:t>
      </w:r>
      <w:r>
        <w:t xml:space="preserve">found within that interval, we will have strong evidence that condition</w:t>
      </w:r>
      <w:r>
        <w:t xml:space="preserve"> </w:t>
      </w:r>
      <w:r>
        <w:rPr>
          <w:rStyle w:val="VerbatimChar"/>
        </w:rPr>
        <w:t xml:space="preserve">c3</w:t>
      </w:r>
      <w:r>
        <w:t xml:space="preserve"> </w:t>
      </w:r>
      <w:r>
        <w:t xml:space="preserve">is not equal to condition</w:t>
      </w:r>
      <w:r>
        <w:t xml:space="preserve"> </w:t>
      </w:r>
      <w:r>
        <w:rPr>
          <w:rStyle w:val="VerbatimChar"/>
        </w:rPr>
        <w:t xml:space="preserve">c2</w:t>
      </w:r>
      <w:r>
        <w:t xml:space="preserve"> </w:t>
      </w:r>
      <w:r>
        <w:t xml:space="preserve">(the column</w:t>
      </w:r>
      <w:r>
        <w:t xml:space="preserve"> </w:t>
      </w:r>
      <w:r>
        <w:rPr>
          <w:rStyle w:val="VerbatimChar"/>
        </w:rPr>
        <w:t xml:space="preserve">Star</w:t>
      </w:r>
      <w:r>
        <w:t xml:space="preserve"> </w:t>
      </w:r>
      <w:r>
        <w:t xml:space="preserve">in our output will have an asterisk). If zero is found within that interval, we would not have enough evidence to conclude that a difference exists between the two conditions.</w:t>
      </w:r>
    </w:p>
    <w:p>
      <w:pPr>
        <w:pStyle w:val="BodyText"/>
      </w:pPr>
      <w:r>
        <w:t xml:space="preserve">The output generated by</w:t>
      </w:r>
      <w:r>
        <w:t xml:space="preserve"> </w:t>
      </w:r>
      <w:r>
        <w:rPr>
          <w:rStyle w:val="VerbatimChar"/>
        </w:rPr>
        <w:t xml:space="preserve">hypothesis()</w:t>
      </w:r>
      <w:r>
        <w:t xml:space="preserve"> </w:t>
      </w:r>
      <w:r>
        <w:t xml:space="preserve">is shown in</w:t>
      </w:r>
      <w:r>
        <w:t xml:space="preserve"> </w:t>
      </w:r>
      <w:hyperlink w:anchor="tbl-hypothesis">
        <w:r>
          <w:rPr>
            <w:rStyle w:val="Hyperlink"/>
          </w:rPr>
          <w:t xml:space="preserve">Table 3</w:t>
        </w:r>
      </w:hyperlink>
      <w:r>
        <w:t xml:space="preserve"> </w:t>
      </w:r>
      <w:r>
        <w:t xml:space="preserve">with resulting estimates and credible intervals. Because we have assigned the result to a variable (</w:t>
      </w:r>
      <w:r>
        <w:rPr>
          <w:rStyle w:val="VerbatimChar"/>
        </w:rPr>
        <w:t xml:space="preserve">h</w:t>
      </w:r>
      <w:r>
        <w:t xml:space="preserve">), we can also plot the resulting posterior distributions simply by running</w:t>
      </w:r>
      <w:r>
        <w:t xml:space="preserve"> </w:t>
      </w:r>
      <w:r>
        <w:rPr>
          <w:rStyle w:val="VerbatimChar"/>
        </w:rPr>
        <w:t xml:space="preserve">plot(h)</w:t>
      </w:r>
      <w:r>
        <w:t xml:space="preserve">.</w:t>
      </w:r>
    </w:p>
    <w:p>
      <w:pPr>
        <w:pStyle w:val="BodyText"/>
      </w:pPr>
      <w:r>
        <w:t xml:space="preserve">In our comparisons table, we can see that two of the three hypotheses can be rejected (assuming a posterior threshold of</w:t>
      </w:r>
      <w:r>
        <w:t xml:space="preserve"> </w:t>
      </w:r>
      <m:oMath>
        <m:r>
          <m:t>0.05</m:t>
        </m:r>
      </m:oMath>
      <w:r>
        <w:t xml:space="preserve">), namely,</w:t>
      </w:r>
      <w:r>
        <w:t xml:space="preserve"> </w:t>
      </w:r>
      <w:r>
        <w:rPr>
          <w:rStyle w:val="VerbatimChar"/>
        </w:rPr>
        <w:t xml:space="preserve">c3-c2</w:t>
      </w:r>
      <w:r>
        <w:t xml:space="preserve"> </w:t>
      </w:r>
      <w:r>
        <w:t xml:space="preserve">(</w:t>
      </w:r>
      <m:oMath>
        <m:acc>
          <m:accPr>
            <m:chr m:val="̂"/>
          </m:accPr>
          <m:e>
            <m:r>
              <m:t>β</m:t>
            </m:r>
          </m:e>
        </m:acc>
        <m:r>
          <m:rPr>
            <m:sty m:val="p"/>
          </m:rPr>
          <m:t>=</m:t>
        </m:r>
        <m:r>
          <m:t>0.10</m:t>
        </m:r>
      </m:oMath>
      <w:r>
        <w:t xml:space="preserve">) and</w:t>
      </w:r>
      <w:r>
        <w:t xml:space="preserve"> </w:t>
      </w:r>
      <w:r>
        <w:rPr>
          <w:rStyle w:val="VerbatimChar"/>
        </w:rPr>
        <w:t xml:space="preserve">c5-c4</w:t>
      </w:r>
      <w:r>
        <w:t xml:space="preserve"> </w:t>
      </w:r>
      <w:r>
        <w:t xml:space="preserve">(</w:t>
      </w:r>
      <m:oMath>
        <m:acc>
          <m:accPr>
            <m:chr m:val="̂"/>
          </m:accPr>
          <m:e>
            <m:r>
              <m:t>β</m:t>
            </m:r>
          </m:e>
        </m:acc>
        <m:r>
          <m:rPr>
            <m:sty m:val="p"/>
          </m:rPr>
          <m:t>=</m:t>
        </m:r>
        <m:r>
          <m:rPr>
            <m:sty m:val="p"/>
          </m:rPr>
          <m:t>−</m:t>
        </m:r>
        <m:r>
          <m:t>0.09</m:t>
        </m:r>
      </m:oMath>
      <w:r>
        <w:t xml:space="preserve">): in both cases, the credible interval does not include zero. To be clear, the estimates in our table represent the means of the posterior distributions that result from each comparison of distributions. These are therefore single-point estimates that summarize entire posterior distributions (as is always the case in Bayesian models). For example, we saw in</w:t>
      </w:r>
      <w:r>
        <w:t xml:space="preserve"> </w:t>
      </w:r>
      <w:hyperlink w:anchor="lst-bFit1-result">
        <w:r>
          <w:rPr>
            <w:rStyle w:val="Hyperlink"/>
          </w:rPr>
          <w:t xml:space="preserve">Listing 8</w:t>
        </w:r>
      </w:hyperlink>
      <w:r>
        <w:t xml:space="preserve"> </w:t>
      </w:r>
      <w:r>
        <w:t xml:space="preserve">that the mean estimate for</w:t>
      </w:r>
      <w:r>
        <w:t xml:space="preserve"> </w:t>
      </w:r>
      <w:r>
        <w:rPr>
          <w:rStyle w:val="VerbatimChar"/>
        </w:rPr>
        <w:t xml:space="preserve">c2</w:t>
      </w:r>
      <w:r>
        <w:t xml:space="preserve"> </w:t>
      </w:r>
      <w:r>
        <w:t xml:space="preserve">is</w:t>
      </w:r>
      <w:r>
        <w:t xml:space="preserve"> </w:t>
      </w:r>
      <m:oMath>
        <m:acc>
          <m:accPr>
            <m:chr m:val="̂"/>
          </m:accPr>
          <m:e>
            <m:r>
              <m:t>β</m:t>
            </m:r>
          </m:e>
        </m:acc>
        <m:r>
          <m:rPr>
            <m:sty m:val="p"/>
          </m:rPr>
          <m:t>=</m:t>
        </m:r>
        <m:r>
          <m:rPr>
            <m:sty m:val="p"/>
          </m:rPr>
          <m:t>−</m:t>
        </m:r>
        <m:r>
          <m:t>0.06</m:t>
        </m:r>
      </m:oMath>
      <w:r>
        <w:t xml:space="preserve"> </w:t>
      </w:r>
      <w:r>
        <w:t xml:space="preserve">and the mean estimate for</w:t>
      </w:r>
      <w:r>
        <w:t xml:space="preserve"> </w:t>
      </w:r>
      <w:r>
        <w:rPr>
          <w:rStyle w:val="VerbatimChar"/>
        </w:rPr>
        <w:t xml:space="preserve">c3</w:t>
      </w:r>
      <w:r>
        <w:t xml:space="preserve"> </w:t>
      </w:r>
      <w:r>
        <w:t xml:space="preserve">is</w:t>
      </w:r>
      <w:r>
        <w:t xml:space="preserve"> </w:t>
      </w:r>
      <m:oMath>
        <m:acc>
          <m:accPr>
            <m:chr m:val="̂"/>
          </m:accPr>
          <m:e>
            <m:r>
              <m:t>β</m:t>
            </m:r>
          </m:e>
        </m:acc>
        <m:r>
          <m:rPr>
            <m:sty m:val="p"/>
          </m:rPr>
          <m:t>=</m:t>
        </m:r>
        <m:r>
          <m:t>0.05</m:t>
        </m:r>
      </m:oMath>
      <w:r>
        <w:t xml:space="preserve">—both of which represent the difference between each condition and</w:t>
      </w:r>
      <w:r>
        <w:t xml:space="preserve"> </w:t>
      </w:r>
      <w:r>
        <w:rPr>
          <w:rStyle w:val="VerbatimChar"/>
        </w:rPr>
        <w:t xml:space="preserve">c1</w:t>
      </w:r>
      <w:r>
        <w:t xml:space="preserve">, our intercept. Thus, it is not surprising that the posterior distribution of</w:t>
      </w:r>
      <w:r>
        <w:t xml:space="preserve"> </w:t>
      </w:r>
      <w:r>
        <w:rPr>
          <w:rStyle w:val="VerbatimChar"/>
        </w:rPr>
        <w:t xml:space="preserve">c2-c3</w:t>
      </w:r>
      <w:r>
        <w:t xml:space="preserve"> </w:t>
      </w:r>
      <w:r>
        <w:t xml:space="preserve">has a mean estimate of</w:t>
      </w:r>
      <w:r>
        <w:t xml:space="preserve"> </w:t>
      </w:r>
      <m:oMath>
        <m:acc>
          <m:accPr>
            <m:chr m:val="̂"/>
          </m:accPr>
          <m:e>
            <m:r>
              <m:t>β</m:t>
            </m:r>
          </m:e>
        </m:acc>
        <m:r>
          <m:rPr>
            <m:sty m:val="p"/>
          </m:rPr>
          <m:t>=</m:t>
        </m:r>
        <m:r>
          <m:rPr>
            <m:sty m:val="p"/>
          </m:rPr>
          <m:t>−</m:t>
        </m:r>
        <m:r>
          <m:t>0.10</m:t>
        </m:r>
      </m:oMath>
      <w:r>
        <w:t xml:space="preserve"> </w:t>
      </w:r>
      <w:r>
        <w:t xml:space="preserve">(estimates have been rounded to two decimal places).</w:t>
      </w:r>
    </w:p>
    <w:p>
      <w:pPr>
        <w:pStyle w:val="BodyText"/>
      </w:pPr>
      <w:r>
        <w:t xml:space="preserve">You may be wondering how</w:t>
      </w:r>
      <w:r>
        <w:t xml:space="preserve"> </w:t>
      </w:r>
      <w:r>
        <w:rPr>
          <w:rStyle w:val="VerbatimChar"/>
        </w:rPr>
        <w:t xml:space="preserve">c1</w:t>
      </w:r>
      <w:r>
        <w:t xml:space="preserve"> </w:t>
      </w:r>
      <w:r>
        <w:t xml:space="preserve">could be included in the multiple comparisons. It is true that all of the comparisons involving</w:t>
      </w:r>
      <w:r>
        <w:t xml:space="preserve"> </w:t>
      </w:r>
      <w:r>
        <w:rPr>
          <w:rStyle w:val="VerbatimChar"/>
        </w:rPr>
        <w:t xml:space="preserve">c1</w:t>
      </w:r>
      <w:r>
        <w:t xml:space="preserve"> </w:t>
      </w:r>
      <w:r>
        <w:t xml:space="preserve">are by definition in the result of</w:t>
      </w:r>
      <w:r>
        <w:t xml:space="preserve"> </w:t>
      </w:r>
      <w:r>
        <w:rPr>
          <w:rStyle w:val="VerbatimChar"/>
        </w:rPr>
        <w:t xml:space="preserve">bFit1</w:t>
      </w:r>
      <w:r>
        <w:t xml:space="preserve">, since</w:t>
      </w:r>
      <w:r>
        <w:t xml:space="preserve"> </w:t>
      </w:r>
      <w:r>
        <w:rPr>
          <w:rStyle w:val="VerbatimChar"/>
        </w:rPr>
        <w:t xml:space="preserve">c1</w:t>
      </w:r>
      <w:r>
        <w:t xml:space="preserve"> </w:t>
      </w:r>
      <w:r>
        <w:t xml:space="preserve">is our intercept. However, if we want to list</w:t>
      </w:r>
      <w:r>
        <w:t xml:space="preserve"> </w:t>
      </w:r>
      <w:r>
        <w:rPr>
          <w:i/>
          <w:iCs/>
        </w:rPr>
        <w:t xml:space="preserve">all</w:t>
      </w:r>
      <w:r>
        <w:t xml:space="preserve"> </w:t>
      </w:r>
      <w:r>
        <w:t xml:space="preserve">comparisons, we will have to include those comparisons as well. There are two important details in this scenario: first,</w:t>
      </w:r>
      <w:r>
        <w:t xml:space="preserve"> </w:t>
      </w:r>
      <w:r>
        <w:rPr>
          <w:rStyle w:val="VerbatimChar"/>
        </w:rPr>
        <w:t xml:space="preserve">c1</w:t>
      </w:r>
      <w:r>
        <w:t xml:space="preserve"> </w:t>
      </w:r>
      <w:r>
        <w:t xml:space="preserve">does not exist in the model as it is called</w:t>
      </w:r>
      <w:r>
        <w:t xml:space="preserve"> </w:t>
      </w:r>
      <w:r>
        <w:rPr>
          <w:rStyle w:val="VerbatimChar"/>
        </w:rPr>
        <w:t xml:space="preserve">Intercept</w:t>
      </w:r>
      <w:r>
        <w:t xml:space="preserve">.</w:t>
      </w:r>
      <w:r>
        <w:rPr>
          <w:rStyle w:val="FootnoteReference"/>
        </w:rPr>
        <w:footnoteReference w:id="57"/>
      </w:r>
      <w:r>
        <w:t xml:space="preserve"> </w:t>
      </w:r>
      <w:r>
        <w:t xml:space="preserve">Thus, we cannot simply add</w:t>
      </w:r>
      <w:r>
        <w:t xml:space="preserve"> </w:t>
      </w:r>
      <w:r>
        <w:rPr>
          <w:rStyle w:val="VerbatimChar"/>
        </w:rPr>
        <w:t xml:space="preserve">condc1</w:t>
      </w:r>
      <w:r>
        <w:t xml:space="preserve"> </w:t>
      </w:r>
      <w:r>
        <w:t xml:space="preserve">to our</w:t>
      </w:r>
      <w:r>
        <w:t xml:space="preserve"> </w:t>
      </w:r>
      <w:r>
        <w:rPr>
          <w:rStyle w:val="VerbatimChar"/>
        </w:rPr>
        <w:t xml:space="preserve">contrasts</w:t>
      </w:r>
      <w:r>
        <w:t xml:space="preserve"> </w:t>
      </w:r>
      <w:r>
        <w:t xml:space="preserve">variable as the function</w:t>
      </w:r>
      <w:r>
        <w:t xml:space="preserve"> </w:t>
      </w:r>
      <w:r>
        <w:rPr>
          <w:rStyle w:val="VerbatimChar"/>
        </w:rPr>
        <w:t xml:space="preserve">hypothesis()</w:t>
      </w:r>
      <w:r>
        <w:t xml:space="preserve"> </w:t>
      </w:r>
      <w:r>
        <w:t xml:space="preserve">will not be able to find such a parameter in the model. Rather, you’d simply type</w:t>
      </w:r>
      <w:r>
        <w:t xml:space="preserve"> </w:t>
      </w:r>
      <w:r>
        <w:rPr>
          <w:rStyle w:val="VerbatimChar"/>
        </w:rPr>
        <w:t xml:space="preserve">Intercept</w:t>
      </w:r>
      <w:r>
        <w:t xml:space="preserve">. Second, in a standard model slopes encompass only their</w:t>
      </w:r>
      <w:r>
        <w:t xml:space="preserve"> </w:t>
      </w:r>
      <w:r>
        <w:rPr>
          <w:i/>
          <w:iCs/>
        </w:rPr>
        <w:t xml:space="preserve">differences</w:t>
      </w:r>
      <w:r>
        <w:t xml:space="preserve"> </w:t>
      </w:r>
      <w:r>
        <w:t xml:space="preserve">relative to the intercept. As a result, if we want to test the hypothesis that</w:t>
      </w:r>
      <w:r>
        <w:t xml:space="preserve"> </w:t>
      </w:r>
      <w:r>
        <w:rPr>
          <w:rStyle w:val="VerbatimChar"/>
        </w:rPr>
        <w:t xml:space="preserve">c1</w:t>
      </w:r>
      <w:r>
        <w:t xml:space="preserve"> </w:t>
      </w:r>
      <w:r>
        <w:t xml:space="preserve">and</w:t>
      </w:r>
      <w:r>
        <w:t xml:space="preserve"> </w:t>
      </w:r>
      <w:r>
        <w:rPr>
          <w:rStyle w:val="VerbatimChar"/>
        </w:rPr>
        <w:t xml:space="preserve">c3</w:t>
      </w:r>
      <w:r>
        <w:t xml:space="preserve"> </w:t>
      </w:r>
      <w:r>
        <w:t xml:space="preserve">are identical, for example, we cannot simply write</w:t>
      </w:r>
      <w:r>
        <w:t xml:space="preserve"> </w:t>
      </w:r>
      <w:r>
        <w:rPr>
          <w:rStyle w:val="VerbatimChar"/>
        </w:rPr>
        <w:t xml:space="preserve">Intercept = c3</w:t>
      </w:r>
      <w:r>
        <w:t xml:space="preserve">. Instead, you’d type</w:t>
      </w:r>
      <w:r>
        <w:t xml:space="preserve"> </w:t>
      </w:r>
      <w:r>
        <w:rPr>
          <w:rStyle w:val="VerbatimChar"/>
        </w:rPr>
        <w:t xml:space="preserve">c3 = 0</w:t>
      </w:r>
      <w:r>
        <w:t xml:space="preserve">, which is essentially the same as</w:t>
      </w:r>
      <w:r>
        <w:t xml:space="preserve"> </w:t>
      </w:r>
      <w:r>
        <w:rPr>
          <w:rStyle w:val="VerbatimChar"/>
        </w:rPr>
        <w:t xml:space="preserve">Intercept = c3 + Intercept</w:t>
      </w:r>
      <w:r>
        <w:t xml:space="preserve">. Indeed,</w:t>
      </w:r>
      <w:r>
        <w:t xml:space="preserve"> </w:t>
      </w:r>
      <w:r>
        <w:rPr>
          <w:rStyle w:val="VerbatimChar"/>
        </w:rPr>
        <w:t xml:space="preserve">c3 + Intercept</w:t>
      </w:r>
      <w:r>
        <w:t xml:space="preserve"> </w:t>
      </w:r>
      <w:r>
        <w:t xml:space="preserve">gives you the actual posterior draws for the absolute values of</w:t>
      </w:r>
      <w:r>
        <w:t xml:space="preserve"> </w:t>
      </w:r>
      <w:r>
        <w:rPr>
          <w:rStyle w:val="VerbatimChar"/>
        </w:rPr>
        <w:t xml:space="preserve">c3</w:t>
      </w:r>
      <w:r>
        <w:t xml:space="preserve">. Note that this has nothing to do with the Bayesian framework that we are employing. This is just how a typical regression model works.</w:t>
      </w:r>
    </w:p>
    <w:p>
      <w:pPr>
        <w:pStyle w:val="BodyText"/>
      </w:pPr>
      <w:r>
        <w:t xml:space="preserve">How could we report our results thus far assuming only the comparisons in</w:t>
      </w:r>
      <w:r>
        <w:t xml:space="preserve"> </w:t>
      </w:r>
      <w:hyperlink w:anchor="lst-hypothesis">
        <w:r>
          <w:rPr>
            <w:rStyle w:val="Hyperlink"/>
          </w:rPr>
          <w:t xml:space="preserve">Listing 9</w:t>
        </w:r>
      </w:hyperlink>
      <w:r>
        <w:t xml:space="preserve">? We can be more or less comprehensive on the amount of detail we provide</w:t>
      </w:r>
      <w:r>
        <w:t xml:space="preserve"> </w:t>
      </w:r>
      <w:r>
        <w:t xml:space="preserve">(see Kruschke, 2021)</w:t>
      </w:r>
      <w:r>
        <w:t xml:space="preserve">. Here is a comprehensive example that emphasizes the hypothesis testing approach just described and adds some information on the parameter estimation from</w:t>
      </w:r>
      <w:r>
        <w:t xml:space="preserve"> </w:t>
      </w:r>
      <w:hyperlink w:anchor="fig-bFit1">
        <w:r>
          <w:rPr>
            <w:rStyle w:val="Hyperlink"/>
          </w:rPr>
          <w:t xml:space="preserve">Figure 4</w:t>
        </w:r>
      </w:hyperlink>
      <w:r>
        <w:t xml:space="preserve">:</w:t>
      </w:r>
    </w:p>
    <w:p>
      <w:pPr>
        <w:pStyle w:val="BlockText"/>
      </w:pPr>
      <w:r>
        <w:t xml:space="preserve">We have run a Bayesian hierarchical linear regression to estimate the effect of</w:t>
      </w:r>
      <w:r>
        <w:t xml:space="preserve"> </w:t>
      </w:r>
      <w:r>
        <w:rPr>
          <w:rStyle w:val="VerbatimChar"/>
        </w:rPr>
        <w:t xml:space="preserve">cond</w:t>
      </w:r>
      <w:r>
        <w:t xml:space="preserve"> </w:t>
      </w:r>
      <w:r>
        <w:t xml:space="preserve">(our condition) on participants’ responses. Our model included random intercepts and slopes (</w:t>
      </w:r>
      <w:r>
        <w:rPr>
          <w:rStyle w:val="VerbatimChar"/>
        </w:rPr>
        <w:t xml:space="preserve">cond</w:t>
      </w:r>
      <w:r>
        <w:t xml:space="preserve">) by participant, by-item random intercepts, as well as mildly informative Gaussian priors on each of the conditions: priors were centered at zero for our slopes and centered at 7 for our intercept,</w:t>
      </w:r>
      <w:r>
        <w:t xml:space="preserve"> </w:t>
      </w:r>
      <w:r>
        <w:rPr>
          <w:rStyle w:val="VerbatimChar"/>
        </w:rPr>
        <w:t xml:space="preserve">c1</w:t>
      </w:r>
      <w:r>
        <w:t xml:space="preserve">; the standard deviation of all priors was set to 1. The model specification included 2,000 iterations and 1,000 warm-up steps. Both</w:t>
      </w:r>
      <w:r>
        <w:t xml:space="preserve"> </w:t>
      </w:r>
      <m:oMath>
        <m:acc>
          <m:accPr>
            <m:chr m:val="̂"/>
          </m:accPr>
          <m:e>
            <m:r>
              <m:t>R</m:t>
            </m:r>
          </m:e>
        </m:acc>
      </m:oMath>
      <w:r>
        <w:t xml:space="preserve"> </w:t>
      </w:r>
      <w:r>
        <w:t xml:space="preserve">and effective sample sizes were inspected. By default, our model’s estimates assume</w:t>
      </w:r>
      <w:r>
        <w:t xml:space="preserve"> </w:t>
      </w:r>
      <w:r>
        <w:rPr>
          <w:rStyle w:val="VerbatimChar"/>
        </w:rPr>
        <w:t xml:space="preserve">c1</w:t>
      </w:r>
      <w:r>
        <w:t xml:space="preserve"> </w:t>
      </w:r>
      <w:r>
        <w:t xml:space="preserve">as our reference condition (intercept). Our posterior distributions and their associated 95% HDIs</w:t>
      </w:r>
      <w:r>
        <w:rPr>
          <w:rStyle w:val="FootnoteReference"/>
        </w:rPr>
        <w:footnoteReference w:id="58"/>
      </w:r>
      <w:r>
        <w:t xml:space="preserve"> </w:t>
      </w:r>
      <w:r>
        <w:t xml:space="preserve">(</w:t>
      </w:r>
      <w:hyperlink w:anchor="fig-bFit1">
        <w:r>
          <w:rPr>
            <w:rStyle w:val="Hyperlink"/>
          </w:rPr>
          <w:t xml:space="preserve">Figure 4</w:t>
        </w:r>
      </w:hyperlink>
      <w:r>
        <w:t xml:space="preserve">) suggest that conditions</w:t>
      </w:r>
      <w:r>
        <w:t xml:space="preserve"> </w:t>
      </w:r>
      <w:r>
        <w:rPr>
          <w:rStyle w:val="VerbatimChar"/>
        </w:rPr>
        <w:t xml:space="preserve">c2</w:t>
      </w:r>
      <w:r>
        <w:t xml:space="preserve"> </w:t>
      </w:r>
      <w:r>
        <w:t xml:space="preserve">and</w:t>
      </w:r>
      <w:r>
        <w:t xml:space="preserve"> </w:t>
      </w:r>
      <w:r>
        <w:rPr>
          <w:rStyle w:val="VerbatimChar"/>
        </w:rPr>
        <w:t xml:space="preserve">c5</w:t>
      </w:r>
      <w:r>
        <w:t xml:space="preserve">, whose posterior means are negative relative to</w:t>
      </w:r>
      <w:r>
        <w:t xml:space="preserve"> </w:t>
      </w:r>
      <w:r>
        <w:rPr>
          <w:rStyle w:val="VerbatimChar"/>
        </w:rPr>
        <w:t xml:space="preserve">c1</w:t>
      </w:r>
      <w:r>
        <w:t xml:space="preserve">, are the most likely to have a statistically credible effect. Given that a portion of their HDIs is within the ROPE, we cannot categorically reject the possibility of a null effect. Once we examine our multiple comparisons, however, we notice at least two comparisons</w:t>
      </w:r>
      <w:r>
        <w:rPr>
          <w:rStyle w:val="FootnoteReference"/>
        </w:rPr>
        <w:footnoteReference w:id="59"/>
      </w:r>
      <w:r>
        <w:t xml:space="preserve"> </w:t>
      </w:r>
      <w:r>
        <w:t xml:space="preserve">whose HDIs provide evidence for an effect given the ROPE:</w:t>
      </w:r>
      <w:r>
        <w:t xml:space="preserve"> </w:t>
      </w:r>
      <w:r>
        <w:rPr>
          <w:rStyle w:val="VerbatimChar"/>
        </w:rPr>
        <w:t xml:space="preserve">c3-c2</w:t>
      </w:r>
      <w:r>
        <w:t xml:space="preserve"> </w:t>
      </w:r>
      <w:r>
        <w:t xml:space="preserve">(</w:t>
      </w:r>
      <m:oMath>
        <m:acc>
          <m:accPr>
            <m:chr m:val="̂"/>
          </m:accPr>
          <m:e>
            <m:r>
              <m:t>β</m:t>
            </m:r>
          </m:e>
        </m:acc>
        <m:r>
          <m:rPr>
            <m:sty m:val="p"/>
          </m:rPr>
          <m:t>=</m:t>
        </m:r>
        <m:r>
          <m:t>0.10</m:t>
        </m:r>
        <m:r>
          <m:rPr>
            <m:sty m:val="p"/>
          </m:rPr>
          <m:t>,</m:t>
        </m:r>
        <m:r>
          <m:rPr>
            <m:sty m:val="p"/>
          </m:rPr>
          <m:t>[</m:t>
        </m:r>
        <m:r>
          <m:t>0.02</m:t>
        </m:r>
        <m:r>
          <m:rPr>
            <m:sty m:val="p"/>
          </m:rPr>
          <m:t>,</m:t>
        </m:r>
        <m:r>
          <m:t>0.18</m:t>
        </m:r>
        <m:r>
          <m:rPr>
            <m:sty m:val="p"/>
          </m:rPr>
          <m:t>]</m:t>
        </m:r>
      </m:oMath>
      <w:r>
        <w:t xml:space="preserve">) and</w:t>
      </w:r>
      <w:r>
        <w:t xml:space="preserve"> </w:t>
      </w:r>
      <w:r>
        <w:rPr>
          <w:rStyle w:val="VerbatimChar"/>
        </w:rPr>
        <w:t xml:space="preserve">c5-c4</w:t>
      </w:r>
      <w:r>
        <w:t xml:space="preserve"> </w:t>
      </w:r>
      <w:r>
        <w:t xml:space="preserve">(</w:t>
      </w:r>
      <m:oMath>
        <m:acc>
          <m:accPr>
            <m:chr m:val="̂"/>
          </m:accPr>
          <m:e>
            <m:r>
              <m:t>β</m:t>
            </m:r>
          </m:e>
        </m:acc>
        <m:r>
          <m:rPr>
            <m:sty m:val="p"/>
          </m:rPr>
          <m:t>=</m:t>
        </m:r>
        <m:r>
          <m:rPr>
            <m:sty m:val="p"/>
          </m:rPr>
          <m:t>−</m:t>
        </m:r>
        <m:r>
          <m:t>0.09</m:t>
        </m:r>
        <m:r>
          <m:rPr>
            <m:sty m:val="p"/>
          </m:rPr>
          <m:t>,</m:t>
        </m:r>
        <m:r>
          <m:rPr>
            <m:sty m:val="p"/>
          </m:rPr>
          <m:t>[</m:t>
        </m:r>
        <m:r>
          <m:rPr>
            <m:sty m:val="p"/>
          </m:rPr>
          <m:t>−</m:t>
        </m:r>
        <m:r>
          <m:t>0.18</m:t>
        </m:r>
        <m:r>
          <m:rPr>
            <m:sty m:val="p"/>
          </m:rPr>
          <m:t>,</m:t>
        </m:r>
        <m:r>
          <m:t>0</m:t>
        </m:r>
        <m:r>
          <m:rPr>
            <m:sty m:val="p"/>
          </m:rPr>
          <m:t>]</m:t>
        </m:r>
      </m:oMath>
      <w:r>
        <w:t xml:space="preserve">). These effects would not be visible were we to consider only the slopes in</w:t>
      </w:r>
      <w:r>
        <w:t xml:space="preserve"> </w:t>
      </w:r>
      <w:hyperlink w:anchor="fig-bFit1">
        <w:r>
          <w:rPr>
            <w:rStyle w:val="Hyperlink"/>
          </w:rPr>
          <w:t xml:space="preserve">Figure 4</w:t>
        </w:r>
      </w:hyperlink>
      <w:r>
        <w:t xml:space="preserve">.</w:t>
      </w:r>
    </w:p>
    <w:bookmarkEnd w:id="60"/>
    <w:bookmarkStart w:id="67" w:name="sec-comp-est"/>
    <w:p>
      <w:pPr>
        <w:pStyle w:val="Heading3"/>
      </w:pPr>
      <w:r>
        <w:t xml:space="preserve">Comparisons via parameter estimation</w:t>
      </w:r>
    </w:p>
    <w:p>
      <w:pPr>
        <w:pStyle w:val="FirstParagraph"/>
      </w:pPr>
      <w:r>
        <w:t xml:space="preserve">An alternative to the method explored above involves the actual estimation of effect sizes from multiple comparisons. For example, if we wish to compare</w:t>
      </w:r>
      <w:r>
        <w:t xml:space="preserve"> </w:t>
      </w:r>
      <w:r>
        <w:rPr>
          <w:rStyle w:val="VerbatimChar"/>
        </w:rPr>
        <w:t xml:space="preserve">c3</w:t>
      </w:r>
      <w:r>
        <w:t xml:space="preserve"> </w:t>
      </w:r>
      <w:r>
        <w:t xml:space="preserve">and</w:t>
      </w:r>
      <w:r>
        <w:t xml:space="preserve"> </w:t>
      </w:r>
      <w:r>
        <w:rPr>
          <w:rStyle w:val="VerbatimChar"/>
        </w:rPr>
        <w:t xml:space="preserve">c4</w:t>
      </w:r>
      <w:r>
        <w:t xml:space="preserve">, we could simply subtract their posterior distributions and generate a figure with the resulting distribution. While this is also accomplished when we run</w:t>
      </w:r>
      <w:r>
        <w:t xml:space="preserve"> </w:t>
      </w:r>
      <w:r>
        <w:rPr>
          <w:rStyle w:val="VerbatimChar"/>
        </w:rPr>
        <w:t xml:space="preserve">hypothesis()</w:t>
      </w:r>
      <w:r>
        <w:t xml:space="preserve">, we can directly extract all pairwise comparisons using</w:t>
      </w:r>
      <w:r>
        <w:t xml:space="preserve"> </w:t>
      </w:r>
      <w:r>
        <w:rPr>
          <w:rStyle w:val="VerbatimChar"/>
        </w:rPr>
        <w:t xml:space="preserve">emmeans()</w:t>
      </w:r>
      <w:r>
        <w:t xml:space="preserve">, as seen earlier in</w:t>
      </w:r>
      <w:r>
        <w:t xml:space="preserve"> </w:t>
      </w:r>
      <w:hyperlink w:anchor="lst-code2c">
        <w:r>
          <w:rPr>
            <w:rStyle w:val="Hyperlink"/>
          </w:rPr>
          <w:t xml:space="preserve">Listing 2</w:t>
        </w:r>
      </w:hyperlink>
      <w:r>
        <w:t xml:space="preserve">. This is shown in</w:t>
      </w:r>
      <w:r>
        <w:t xml:space="preserve"> </w:t>
      </w:r>
      <w:hyperlink w:anchor="lst-emmeans">
        <w:r>
          <w:rPr>
            <w:rStyle w:val="Hyperlink"/>
          </w:rPr>
          <w:t xml:space="preserve">Listing 10</w:t>
        </w:r>
      </w:hyperlink>
      <w:r>
        <w:t xml:space="preserve">.</w:t>
      </w:r>
      <w:r>
        <w:rPr>
          <w:rStyle w:val="FootnoteReference"/>
        </w:rPr>
        <w:footnoteReference w:id="61"/>
      </w:r>
      <w:r>
        <w:t xml:space="preserve"> </w:t>
      </w:r>
      <w:r>
        <w:t xml:space="preserve">Note that, by default,</w:t>
      </w:r>
      <w:r>
        <w:t xml:space="preserve"> </w:t>
      </w:r>
      <w:r>
        <w:rPr>
          <w:rStyle w:val="VerbatimChar"/>
        </w:rPr>
        <w:t xml:space="preserve">emmeans()</w:t>
      </w:r>
      <w:r>
        <w:t xml:space="preserve"> </w:t>
      </w:r>
      <w:r>
        <w:t xml:space="preserve">outputs the median and the HPD (</w:t>
      </w:r>
      <w:r>
        <w:rPr>
          <w:i/>
          <w:iCs/>
        </w:rPr>
        <w:t xml:space="preserve">highest posterior density</w:t>
      </w:r>
      <w:r>
        <w:t xml:space="preserve">), which is the smallest interval in the posterior that contains a given proportion of the total probability (e.g., 95% HPD). Although not identical in their meanings, HPDs and HDIs are often used interchangeably in distributions that are approximately Gaussian, our situation here.</w:t>
      </w:r>
    </w:p>
    <w:tbl>
      <w:tblPr>
        <w:tblStyle w:val="Table"/>
        <w:tblW w:type="pct" w:w="5000"/>
        <w:tblLayout w:type="fixed"/>
        <w:tblLook w:firstRow="0" w:lastRow="0" w:firstColumn="0" w:lastColumn="0" w:noHBand="0" w:noVBand="0" w:val="0000"/>
      </w:tblPr>
      <w:tblGrid>
        <w:gridCol w:w="7920"/>
      </w:tblGrid>
      <w:tr>
        <w:tc>
          <w:tcPr/>
          <w:bookmarkStart w:id="62" w:name="lst-emmeans"/>
          <w:p>
            <w:pPr>
              <w:jc w:val="center"/>
            </w:pPr>
            <w:pPr>
              <w:jc w:val="left"/>
              <w:spacing w:before="200"/>
              <w:pStyle w:val="ImageCaption"/>
            </w:pPr>
            <w:r>
              <w:t xml:space="preserve">Listing 10: Extracting all pairwise comparisons using</w:t>
            </w:r>
            <w:r>
              <w:t xml:space="preserve"> </w:t>
            </w:r>
            <w:r>
              <w:rPr>
                <w:rStyle w:val="VerbatimChar"/>
              </w:rPr>
              <w:t xml:space="preserve">emmeans()</w:t>
            </w:r>
            <w:r>
              <w:t xml:space="preserve"> </w:t>
            </w:r>
            <w:r>
              <w:t xml:space="preserve">from</w:t>
            </w:r>
            <w:r>
              <w:t xml:space="preserve"> </w:t>
            </w:r>
            <w:r>
              <w:rPr>
                <w:rStyle w:val="VerbatimChar"/>
              </w:rPr>
              <w:t xml:space="preserve">emmeans</w:t>
            </w:r>
            <w:r>
              <w:t xml:space="preserve">.</w:t>
            </w:r>
          </w:p>
          <w:p>
            <w:pPr>
              <w:pStyle w:val="SourceCode"/>
              <w:jc w:val="center"/>
            </w:pPr>
            <w:r>
              <w:rPr>
                <w:rStyle w:val="FunctionTok"/>
              </w:rPr>
              <w:t xml:space="preserve">emmeans</w:t>
            </w:r>
            <w:r>
              <w:rPr>
                <w:rStyle w:val="NormalTok"/>
              </w:rPr>
              <w:t xml:space="preserve">(bFit1, pairwise </w:t>
            </w:r>
            <w:r>
              <w:rPr>
                <w:rStyle w:val="SpecialCharTok"/>
              </w:rPr>
              <w:t xml:space="preserve">~</w:t>
            </w:r>
            <w:r>
              <w:rPr>
                <w:rStyle w:val="NormalTok"/>
              </w:rPr>
              <w:t xml:space="preserve"> cond)</w:t>
            </w:r>
            <w:r>
              <w:rPr>
                <w:rStyle w:val="SpecialCharTok"/>
              </w:rPr>
              <w:t xml:space="preserve">$</w:t>
            </w:r>
            <w:r>
              <w:rPr>
                <w:rStyle w:val="NormalTok"/>
              </w:rPr>
              <w:t xml:space="preserve">contrasts </w:t>
            </w:r>
            <w:r>
              <w:rPr>
                <w:rStyle w:val="CommentTok"/>
              </w:rPr>
              <w:t xml:space="preserve"># |&gt; plot()</w:t>
            </w:r>
            <w:r>
              <w:br/>
            </w:r>
            <w:r>
              <w:rPr>
                <w:rStyle w:val="CommentTok"/>
              </w:rPr>
              <w:t xml:space="preserve">#&gt;  contrast estimate lower.HPD upper.HPD</w:t>
            </w:r>
            <w:r>
              <w:br/>
            </w:r>
            <w:r>
              <w:rPr>
                <w:rStyle w:val="CommentTok"/>
              </w:rPr>
              <w:t xml:space="preserve">#&gt;  c1 - c2    0.0573 -0.016146    0.1329</w:t>
            </w:r>
            <w:r>
              <w:br/>
            </w:r>
            <w:r>
              <w:rPr>
                <w:rStyle w:val="CommentTok"/>
              </w:rPr>
              <w:t xml:space="preserve">#&gt;  c1 - c3   -0.0470 -0.123947    0.0248</w:t>
            </w:r>
            <w:r>
              <w:br/>
            </w:r>
            <w:r>
              <w:rPr>
                <w:rStyle w:val="CommentTok"/>
              </w:rPr>
              <w:t xml:space="preserve">#&gt;  c1 - c4   -0.0274 -0.122443    0.0666</w:t>
            </w:r>
            <w:r>
              <w:br/>
            </w:r>
            <w:r>
              <w:rPr>
                <w:rStyle w:val="CommentTok"/>
              </w:rPr>
              <w:t xml:space="preserve">#&gt;  c1 - c5    0.0673 -0.002735    0.1416</w:t>
            </w:r>
            <w:r>
              <w:br/>
            </w:r>
            <w:r>
              <w:rPr>
                <w:rStyle w:val="CommentTok"/>
              </w:rPr>
              <w:t xml:space="preserve">#&gt;  c2 - c3   -0.1046 -0.178983   -0.0241</w:t>
            </w:r>
            <w:r>
              <w:br/>
            </w:r>
            <w:r>
              <w:rPr>
                <w:rStyle w:val="CommentTok"/>
              </w:rPr>
              <w:t xml:space="preserve">#&gt;  c2 - c4   -0.0832 -0.178415    0.0153</w:t>
            </w:r>
            <w:r>
              <w:br/>
            </w:r>
            <w:r>
              <w:rPr>
                <w:rStyle w:val="CommentTok"/>
              </w:rPr>
              <w:t xml:space="preserve">#&gt;  c2 - c5    0.0116 -0.064286    0.0879</w:t>
            </w:r>
            <w:r>
              <w:br/>
            </w:r>
            <w:r>
              <w:rPr>
                <w:rStyle w:val="CommentTok"/>
              </w:rPr>
              <w:t xml:space="preserve">#&gt;  c3 - c4    0.0210 -0.072558    0.1196</w:t>
            </w:r>
            <w:r>
              <w:br/>
            </w:r>
            <w:r>
              <w:rPr>
                <w:rStyle w:val="CommentTok"/>
              </w:rPr>
              <w:t xml:space="preserve">#&gt;  c3 - c5    0.1157  0.038126    0.1938</w:t>
            </w:r>
            <w:r>
              <w:br/>
            </w:r>
            <w:r>
              <w:rPr>
                <w:rStyle w:val="CommentTok"/>
              </w:rPr>
              <w:t xml:space="preserve">#&gt;  c4 - c5    0.0950 -0.000387    0.1825</w:t>
            </w:r>
            <w:r>
              <w:br/>
            </w:r>
            <w:r>
              <w:rPr>
                <w:rStyle w:val="CommentTok"/>
              </w:rPr>
              <w:t xml:space="preserve">#&gt; </w:t>
            </w:r>
            <w:r>
              <w:br/>
            </w:r>
            <w:r>
              <w:rPr>
                <w:rStyle w:val="CommentTok"/>
              </w:rPr>
              <w:t xml:space="preserve">#&gt; Point estimate displayed: median </w:t>
            </w:r>
            <w:r>
              <w:br/>
            </w:r>
            <w:r>
              <w:rPr>
                <w:rStyle w:val="CommentTok"/>
              </w:rPr>
              <w:t xml:space="preserve">#&gt; HPD interval probability: 0.95</w:t>
            </w:r>
          </w:p>
          <w:bookmarkEnd w:id="62"/>
        </w:tc>
      </w:tr>
    </w:tbl>
    <w:p>
      <w:pPr>
        <w:pStyle w:val="FirstParagraph"/>
      </w:pPr>
      <w:r>
        <w:t xml:space="preserve">While functions such as</w:t>
      </w:r>
      <w:r>
        <w:t xml:space="preserve"> </w:t>
      </w:r>
      <w:r>
        <w:rPr>
          <w:rStyle w:val="VerbatimChar"/>
        </w:rPr>
        <w:t xml:space="preserve">emmeans()</w:t>
      </w:r>
      <w:r>
        <w:t xml:space="preserve"> </w:t>
      </w:r>
      <w:r>
        <w:t xml:space="preserve">are extremely useful, there are two advantages of doing things manually for at least once: first, it forces us to understand exactly what is being done, which is especially useful to those new to Bayesian models; second, it allows us to customize our comparisons.</w:t>
      </w:r>
    </w:p>
    <w:p>
      <w:pPr>
        <w:pStyle w:val="BodyText"/>
      </w:pPr>
      <w:r>
        <w:t xml:space="preserve">In what follows, we will visualize all the comparisons for our variable</w:t>
      </w:r>
      <w:r>
        <w:t xml:space="preserve"> </w:t>
      </w:r>
      <w:r>
        <w:rPr>
          <w:rStyle w:val="VerbatimChar"/>
        </w:rPr>
        <w:t xml:space="preserve">cond</w:t>
      </w:r>
      <w:r>
        <w:t xml:space="preserve">. We will, however, extract posterior samples manually to generate a custom figure that is informative and comprehensive. The goal here is not to suggest that the same type of figure should necessarily be used in similar analyses. Instead, our goal will be to better understand multiple comparisons in the process of generating a complete figure of what we can extract from our models. Using functions such as</w:t>
      </w:r>
      <w:r>
        <w:t xml:space="preserve"> </w:t>
      </w:r>
      <w:r>
        <w:rPr>
          <w:rStyle w:val="VerbatimChar"/>
        </w:rPr>
        <w:t xml:space="preserve">hypothesis()</w:t>
      </w:r>
      <w:r>
        <w:t xml:space="preserve">, which automatically accomplish a task for us, can be extremely practical, but such functions can also conceal what is actually happening in the background, which can be a problem if we want to better understand the specifics. We will start with our final product, i.e., a figure with all ten multiple comparisons for</w:t>
      </w:r>
      <w:r>
        <w:t xml:space="preserve"> </w:t>
      </w:r>
      <w:r>
        <w:rPr>
          <w:rStyle w:val="VerbatimChar"/>
        </w:rPr>
        <w:t xml:space="preserve">cond</w:t>
      </w:r>
      <w:r>
        <w:t xml:space="preserve">.</w:t>
      </w:r>
      <w:r>
        <w:t xml:space="preserve"> </w:t>
      </w:r>
      <w:r>
        <w:t xml:space="preserve">As previously mentioned, we will also add a ROPE to our figure: even though the figure focuses on parameter estimation, having the ROPE in it allows the reader to reject or accept null effects as well. In simple terms, this makes our figure more flexible and comprehensive.</w:t>
      </w:r>
      <w:r>
        <w:t xml:space="preserve"> </w:t>
      </w:r>
      <w:r>
        <w:t xml:space="preserve">Here are the elements shown in</w:t>
      </w:r>
      <w:r>
        <w:t xml:space="preserve"> </w:t>
      </w:r>
      <w:hyperlink w:anchor="fig-final">
        <w:r>
          <w:rPr>
            <w:rStyle w:val="Hyperlink"/>
          </w:rPr>
          <w:t xml:space="preserve">Figure 5</w:t>
        </w:r>
      </w:hyperlink>
      <w:r>
        <w:t xml:space="preserve">:</w:t>
      </w:r>
    </w:p>
    <w:p>
      <w:pPr>
        <w:pStyle w:val="Compact"/>
        <w:numPr>
          <w:ilvl w:val="0"/>
          <w:numId w:val="1001"/>
        </w:numPr>
      </w:pPr>
      <w:r>
        <w:t xml:space="preserve">Posterior distributions for all multiple comparisons based on</w:t>
      </w:r>
      <w:r>
        <w:t xml:space="preserve"> </w:t>
      </w:r>
      <w:r>
        <w:rPr>
          <w:rStyle w:val="VerbatimChar"/>
        </w:rPr>
        <w:t xml:space="preserve">bFit1</w:t>
      </w:r>
      <w:r>
        <w:t xml:space="preserve">.</w:t>
      </w:r>
      <w:r>
        <w:t xml:space="preserve"> </w:t>
      </w:r>
      <w:r>
        <w:t xml:space="preserve">The figure also displays the same comparisons from a non-hierarchical model (analogous to model</w:t>
      </w:r>
      <w:r>
        <w:t xml:space="preserve"> </w:t>
      </w:r>
      <w:r>
        <w:rPr>
          <w:rStyle w:val="VerbatimChar"/>
        </w:rPr>
        <w:t xml:space="preserve">LM</w:t>
      </w:r>
      <w:r>
        <w:t xml:space="preserve"> </w:t>
      </w:r>
      <w:r>
        <w:t xml:space="preserve">in</w:t>
      </w:r>
      <w:r>
        <w:t xml:space="preserve"> </w:t>
      </w:r>
      <w:hyperlink w:anchor="fig-imbalance">
        <w:r>
          <w:rPr>
            <w:rStyle w:val="Hyperlink"/>
          </w:rPr>
          <w:t xml:space="preserve">Figure 2</w:t>
        </w:r>
      </w:hyperlink>
      <w:r>
        <w:t xml:space="preserve">; not run here),</w:t>
      </w:r>
      <w:r>
        <w:t xml:space="preserve"> </w:t>
      </w:r>
      <w:r>
        <w:rPr>
          <w:rStyle w:val="VerbatimChar"/>
        </w:rPr>
        <w:t xml:space="preserve">bFit0</w:t>
      </w:r>
      <w:r>
        <w:t xml:space="preserve">, also included in the</w:t>
      </w:r>
      <w:r>
        <w:t xml:space="preserve"> </w:t>
      </w:r>
      <w:r>
        <w:rPr>
          <w:rStyle w:val="VerbatimChar"/>
        </w:rPr>
        <w:t xml:space="preserve">bFits.RData</w:t>
      </w:r>
      <w:r>
        <w:t xml:space="preserve"> </w:t>
      </w:r>
      <w:r>
        <w:t xml:space="preserve">file. These posteriors are shown with a dark gray border.</w:t>
      </w:r>
    </w:p>
    <w:p>
      <w:pPr>
        <w:pStyle w:val="Compact"/>
        <w:numPr>
          <w:ilvl w:val="0"/>
          <w:numId w:val="1001"/>
        </w:numPr>
      </w:pPr>
      <w:r>
        <w:t xml:space="preserve">Means and HDIs of our hierarchical model</w:t>
      </w:r>
      <w:r>
        <w:t xml:space="preserve"> </w:t>
      </w:r>
      <w:r>
        <w:rPr>
          <w:rStyle w:val="VerbatimChar"/>
        </w:rPr>
        <w:t xml:space="preserve">bFit1</w:t>
      </w:r>
      <w:r>
        <w:t xml:space="preserve"> </w:t>
      </w:r>
      <w:r>
        <w:t xml:space="preserve">(right).</w:t>
      </w:r>
    </w:p>
    <w:p>
      <w:pPr>
        <w:pStyle w:val="Compact"/>
        <w:numPr>
          <w:ilvl w:val="0"/>
          <w:numId w:val="1001"/>
        </w:numPr>
      </w:pPr>
      <w:r>
        <w:t xml:space="preserve">Percentage of each HDI from our hierarchical model contained within the ROPE (left).</w:t>
      </w:r>
    </w:p>
    <w:p>
      <w:pPr>
        <w:pStyle w:val="Compact"/>
        <w:numPr>
          <w:ilvl w:val="0"/>
          <w:numId w:val="1001"/>
        </w:numPr>
      </w:pPr>
      <w:r>
        <w:t xml:space="preserve">Random effects by participant, represented with grey circles around the means of the posterior distributions.</w:t>
      </w:r>
    </w:p>
    <w:tbl>
      <w:tblPr>
        <w:tblStyle w:val="Table"/>
        <w:tblW w:type="pct" w:w="5000"/>
        <w:tblLayout w:type="fixed"/>
        <w:tblLook w:firstRow="0" w:lastRow="0" w:firstColumn="0" w:lastColumn="0" w:noHBand="0" w:noVBand="0" w:val="0000"/>
      </w:tblPr>
      <w:tblGrid>
        <w:gridCol w:w="7920"/>
      </w:tblGrid>
      <w:tr>
        <w:tc>
          <w:tcPr/>
          <w:bookmarkStart w:id="66" w:name="fig-final"/>
          <w:p>
            <w:pPr>
              <w:pStyle w:val="Compact"/>
              <w:jc w:val="center"/>
            </w:pPr>
            <w:r>
              <w:drawing>
                <wp:inline>
                  <wp:extent cx="4160520" cy="6656832"/>
                  <wp:effectExtent b="0" l="0" r="0" t="0"/>
                  <wp:docPr descr="" title="" id="64" name="Picture"/>
                  <a:graphic>
                    <a:graphicData uri="http://schemas.openxmlformats.org/drawingml/2006/picture">
                      <pic:pic>
                        <pic:nvPicPr>
                          <pic:cNvPr descr="multcomp_doc_files/figure-docx/fig-final-1.png" id="65" name="Picture"/>
                          <pic:cNvPicPr>
                            <a:picLocks noChangeArrowheads="1" noChangeAspect="1"/>
                          </pic:cNvPicPr>
                        </pic:nvPicPr>
                        <pic:blipFill>
                          <a:blip r:embed="rId63"/>
                          <a:stretch>
                            <a:fillRect/>
                          </a:stretch>
                        </pic:blipFill>
                        <pic:spPr bwMode="auto">
                          <a:xfrm>
                            <a:off x="0" y="0"/>
                            <a:ext cx="4160520" cy="6656832"/>
                          </a:xfrm>
                          <a:prstGeom prst="rect">
                            <a:avLst/>
                          </a:prstGeom>
                          <a:noFill/>
                          <a:ln w="9525">
                            <a:noFill/>
                            <a:headEnd/>
                            <a:tailEnd/>
                          </a:ln>
                        </pic:spPr>
                      </pic:pic>
                    </a:graphicData>
                  </a:graphic>
                </wp:inline>
              </w:drawing>
            </w:r>
          </w:p>
          <w:p>
            <w:pPr>
              <w:jc w:val="center"/>
            </w:pPr>
            <w:pPr>
              <w:jc w:val="left"/>
              <w:spacing w:before="200"/>
              <w:pStyle w:val="ImageCaption"/>
            </w:pPr>
            <w:r>
              <w:t xml:space="preserve">Figure 5: A complete figure containing posterior distributions of multiple comparisons using our hierarchical model. Posterior distributions from a non-hierarchical model (analogous to</w:t>
            </w:r>
            <w:r>
              <w:t xml:space="preserve"> </w:t>
            </w:r>
            <w:r>
              <w:rPr>
                <w:rStyle w:val="VerbatimChar"/>
              </w:rPr>
              <w:t xml:space="preserve">LM</w:t>
            </w:r>
            <w:r>
              <w:t xml:space="preserve"> </w:t>
            </w:r>
            <w:r>
              <w:t xml:space="preserve">in</w:t>
            </w:r>
            <w:r>
              <w:t xml:space="preserve"> </w:t>
            </w:r>
            <w:hyperlink w:anchor="fig-imbalance">
              <w:r>
                <w:rPr>
                  <w:rStyle w:val="Hyperlink"/>
                </w:rPr>
                <w:t xml:space="preserve">Figure 2</w:t>
              </w:r>
            </w:hyperlink>
            <w:r>
              <w:t xml:space="preserve">) are shown with dark gray borders.</w:t>
            </w:r>
          </w:p>
          <w:bookmarkEnd w:id="66"/>
        </w:tc>
      </w:tr>
    </w:tbl>
    <w:p>
      <w:pPr>
        <w:pStyle w:val="BodyText"/>
      </w:pPr>
      <w:r>
        <w:t xml:space="preserve">At this point, the reader should immediately see the shrinkage caused by</w:t>
      </w:r>
      <w:r>
        <w:t xml:space="preserve"> </w:t>
      </w:r>
      <w:r>
        <w:rPr>
          <w:rStyle w:val="VerbatimChar"/>
        </w:rPr>
        <w:t xml:space="preserve">bFit1</w:t>
      </w:r>
      <w:r>
        <w:t xml:space="preserve"> </w:t>
      </w:r>
      <w:r>
        <w:t xml:space="preserve">in</w:t>
      </w:r>
      <w:r>
        <w:t xml:space="preserve"> </w:t>
      </w:r>
      <w:hyperlink w:anchor="fig-final">
        <w:r>
          <w:rPr>
            <w:rStyle w:val="Hyperlink"/>
          </w:rPr>
          <w:t xml:space="preserve">Figure 5</w:t>
        </w:r>
      </w:hyperlink>
      <w:r>
        <w:t xml:space="preserve"> </w:t>
      </w:r>
      <w:r>
        <w:t xml:space="preserve">relative to the non-hierarchical model</w:t>
      </w:r>
      <w:r>
        <w:t xml:space="preserve"> </w:t>
      </w:r>
      <w:r>
        <w:rPr>
          <w:rStyle w:val="VerbatimChar"/>
        </w:rPr>
        <w:t xml:space="preserve">bFit0</w:t>
      </w:r>
      <w:r>
        <w:t xml:space="preserve">. The priors on fixed effects used in both models are identical, which means any shrinkage due to priors can be ignored in this comparison. Thus, the only difference between the two Bayesian models is that one is hierarchical, and the other is not. Every posterior distribution involving</w:t>
      </w:r>
      <w:r>
        <w:t xml:space="preserve"> </w:t>
      </w:r>
      <w:r>
        <w:rPr>
          <w:rStyle w:val="VerbatimChar"/>
        </w:rPr>
        <w:t xml:space="preserve">c4</w:t>
      </w:r>
      <w:r>
        <w:t xml:space="preserve">, the condition with the smallest number of observations, shows considerable shrinkage: our hierarchical model is more conservative and estimates such comparisons closer to zero, which is exactly what we would expect given the shrinkage observed in the estimates of our fixed effects for</w:t>
      </w:r>
      <w:r>
        <w:t xml:space="preserve"> </w:t>
      </w:r>
      <w:r>
        <w:rPr>
          <w:rStyle w:val="VerbatimChar"/>
        </w:rPr>
        <w:t xml:space="preserve">c4</w:t>
      </w:r>
      <w:r>
        <w:t xml:space="preserve">.</w:t>
      </w:r>
    </w:p>
    <w:p>
      <w:pPr>
        <w:pStyle w:val="BodyText"/>
      </w:pPr>
      <w:r>
        <w:t xml:space="preserve">By design,</w:t>
      </w:r>
      <w:r>
        <w:t xml:space="preserve"> </w:t>
      </w:r>
      <w:hyperlink w:anchor="fig-final">
        <w:r>
          <w:rPr>
            <w:rStyle w:val="Hyperlink"/>
          </w:rPr>
          <w:t xml:space="preserve">Figure 5</w:t>
        </w:r>
      </w:hyperlink>
      <w:r>
        <w:t xml:space="preserve"> </w:t>
      </w:r>
      <w:r>
        <w:t xml:space="preserve">is comprehensive in what it shows. As such, it requires multiple steps to be generated. In general, if the reader is looking for a quick method, I would recommend using the much simpler approach in</w:t>
      </w:r>
      <w:r>
        <w:t xml:space="preserve"> </w:t>
      </w:r>
      <w:hyperlink w:anchor="lst-hypothesis">
        <w:r>
          <w:rPr>
            <w:rStyle w:val="Hyperlink"/>
          </w:rPr>
          <w:t xml:space="preserve">Listing 9</w:t>
        </w:r>
      </w:hyperlink>
      <w:r>
        <w:t xml:space="preserve">, which creates a similar result in very few steps, although that approach will be more focused on hypothesis testing. Nevertheless, as mentioned earlier, reproducing</w:t>
      </w:r>
      <w:r>
        <w:t xml:space="preserve"> </w:t>
      </w:r>
      <w:hyperlink w:anchor="fig-final">
        <w:r>
          <w:rPr>
            <w:rStyle w:val="Hyperlink"/>
          </w:rPr>
          <w:t xml:space="preserve">Figure 5</w:t>
        </w:r>
      </w:hyperlink>
      <w:r>
        <w:t xml:space="preserve"> </w:t>
      </w:r>
      <w:r>
        <w:t xml:space="preserve">can be useful to fully understand what we are doing exactly, which in turn can help us better understand the models we are using. Ultimately, it also focuses on the</w:t>
      </w:r>
      <w:r>
        <w:t xml:space="preserve"> </w:t>
      </w:r>
      <w:r>
        <w:rPr>
          <w:i/>
          <w:iCs/>
        </w:rPr>
        <w:t xml:space="preserve">magnitude</w:t>
      </w:r>
      <w:r>
        <w:t xml:space="preserve"> </w:t>
      </w:r>
      <w:r>
        <w:t xml:space="preserve">of effects (rather than, e.g., whether an effect is statistically different from a null model, e.g., Bayes Factors).</w:t>
      </w:r>
    </w:p>
    <w:p>
      <w:pPr>
        <w:pStyle w:val="BodyText"/>
      </w:pPr>
      <w:r>
        <w:t xml:space="preserve">Below, I list the necessary steps involved in creating</w:t>
      </w:r>
      <w:r>
        <w:t xml:space="preserve"> </w:t>
      </w:r>
      <w:hyperlink w:anchor="fig-final">
        <w:r>
          <w:rPr>
            <w:rStyle w:val="Hyperlink"/>
          </w:rPr>
          <w:t xml:space="preserve">Figure 5</w:t>
        </w:r>
      </w:hyperlink>
      <w:r>
        <w:t xml:space="preserve">, some of which are required for both models. The reader can find a complete script to reproduce all the steps and the figure on the OSF repository mentioned at the beginning of the paper.</w:t>
      </w:r>
    </w:p>
    <w:p>
      <w:pPr>
        <w:pStyle w:val="Compact"/>
        <w:numPr>
          <w:ilvl w:val="0"/>
          <w:numId w:val="1002"/>
        </w:numPr>
      </w:pPr>
      <w:r>
        <w:t xml:space="preserve">Extract draws using</w:t>
      </w:r>
      <w:r>
        <w:t xml:space="preserve"> </w:t>
      </w:r>
      <w:r>
        <w:rPr>
          <w:rStyle w:val="VerbatimChar"/>
        </w:rPr>
        <w:t xml:space="preserve">as_draws_df()</w:t>
      </w:r>
      <w:r>
        <w:t xml:space="preserve"> </w:t>
      </w:r>
      <w:r>
        <w:t xml:space="preserve">function</w:t>
      </w:r>
    </w:p>
    <w:p>
      <w:pPr>
        <w:pStyle w:val="Compact"/>
        <w:numPr>
          <w:ilvl w:val="0"/>
          <w:numId w:val="1002"/>
        </w:numPr>
      </w:pPr>
      <w:r>
        <w:t xml:space="preserve">Select and rename variables (e.g., from</w:t>
      </w:r>
      <w:r>
        <w:t xml:space="preserve"> </w:t>
      </w:r>
      <w:r>
        <w:rPr>
          <w:rStyle w:val="VerbatimChar"/>
        </w:rPr>
        <w:t xml:space="preserve">b_Intercept</w:t>
      </w:r>
      <w:r>
        <w:t xml:space="preserve"> </w:t>
      </w:r>
      <w:r>
        <w:t xml:space="preserve">to simply</w:t>
      </w:r>
      <w:r>
        <w:t xml:space="preserve"> </w:t>
      </w:r>
      <w:r>
        <w:rPr>
          <w:rStyle w:val="VerbatimChar"/>
        </w:rPr>
        <w:t xml:space="preserve">c1</w:t>
      </w:r>
      <w:r>
        <w:t xml:space="preserve">)</w:t>
      </w:r>
    </w:p>
    <w:p>
      <w:pPr>
        <w:pStyle w:val="Compact"/>
        <w:numPr>
          <w:ilvl w:val="0"/>
          <w:numId w:val="1002"/>
        </w:numPr>
      </w:pPr>
      <w:r>
        <w:t xml:space="preserve">Create comparisons</w:t>
      </w:r>
    </w:p>
    <w:p>
      <w:pPr>
        <w:pStyle w:val="Compact"/>
        <w:numPr>
          <w:ilvl w:val="0"/>
          <w:numId w:val="1002"/>
        </w:numPr>
      </w:pPr>
      <w:r>
        <w:t xml:space="preserve">Long-transform the data</w:t>
      </w:r>
    </w:p>
    <w:p>
      <w:pPr>
        <w:pStyle w:val="Compact"/>
        <w:numPr>
          <w:ilvl w:val="0"/>
          <w:numId w:val="1002"/>
        </w:numPr>
      </w:pPr>
      <w:r>
        <w:t xml:space="preserve">Create statistical summaries for means and HDIs using</w:t>
      </w:r>
      <w:r>
        <w:t xml:space="preserve"> </w:t>
      </w:r>
      <w:r>
        <w:rPr>
          <w:rStyle w:val="VerbatimChar"/>
        </w:rPr>
        <w:t xml:space="preserve">mean_hdi()</w:t>
      </w:r>
      <w:r>
        <w:t xml:space="preserve"> </w:t>
      </w:r>
      <w:r>
        <w:t xml:space="preserve">function</w:t>
      </w:r>
    </w:p>
    <w:p>
      <w:pPr>
        <w:pStyle w:val="Compact"/>
        <w:numPr>
          <w:ilvl w:val="0"/>
          <w:numId w:val="1002"/>
        </w:numPr>
      </w:pPr>
      <w:r>
        <w:t xml:space="preserve">Generate ROPE using</w:t>
      </w:r>
      <w:r>
        <w:t xml:space="preserve"> </w:t>
      </w:r>
      <w:r>
        <w:rPr>
          <w:rStyle w:val="VerbatimChar"/>
        </w:rPr>
        <w:t xml:space="preserve">rope()</w:t>
      </w:r>
      <w:r>
        <w:t xml:space="preserve"> </w:t>
      </w:r>
      <w:r>
        <w:t xml:space="preserve">function</w:t>
      </w:r>
    </w:p>
    <w:p>
      <w:pPr>
        <w:pStyle w:val="Compact"/>
        <w:numPr>
          <w:ilvl w:val="0"/>
          <w:numId w:val="1002"/>
        </w:numPr>
      </w:pPr>
      <w:r>
        <w:t xml:space="preserve">Extract random effects from</w:t>
      </w:r>
      <w:r>
        <w:t xml:space="preserve"> </w:t>
      </w:r>
      <w:r>
        <w:rPr>
          <w:rStyle w:val="VerbatimChar"/>
        </w:rPr>
        <w:t xml:space="preserve">bFit1</w:t>
      </w:r>
    </w:p>
    <w:p>
      <w:pPr>
        <w:pStyle w:val="Compact"/>
        <w:numPr>
          <w:ilvl w:val="0"/>
          <w:numId w:val="1002"/>
        </w:numPr>
      </w:pPr>
      <w:r>
        <w:t xml:space="preserve">Create summary for mean (random) effects by participant</w:t>
      </w:r>
    </w:p>
    <w:p>
      <w:pPr>
        <w:pStyle w:val="Compact"/>
        <w:numPr>
          <w:ilvl w:val="0"/>
          <w:numId w:val="1002"/>
        </w:numPr>
      </w:pPr>
      <w:r>
        <w:t xml:space="preserve">Generate figure</w:t>
      </w:r>
    </w:p>
    <w:bookmarkEnd w:id="67"/>
    <w:bookmarkEnd w:id="68"/>
    <w:bookmarkStart w:id="80" w:name="sec-hetero"/>
    <w:p>
      <w:pPr>
        <w:pStyle w:val="Heading2"/>
      </w:pPr>
      <w:r>
        <w:t xml:space="preserve">Heteroscedasticity</w:t>
      </w:r>
    </w:p>
    <w:p>
      <w:pPr>
        <w:pStyle w:val="FirstParagraph"/>
      </w:pPr>
      <w:r>
        <w:t xml:space="preserve">In our analysis above, we assume that the variance (</w:t>
      </w:r>
      <m:oMath>
        <m:sSup>
          <m:e>
            <m:r>
              <m:t>σ</m:t>
            </m:r>
          </m:e>
          <m:sup>
            <m:r>
              <m:t>2</m:t>
            </m:r>
          </m:sup>
        </m:sSup>
      </m:oMath>
      <w:r>
        <w:t xml:space="preserve">), and therefore the standard deviation (</w:t>
      </w:r>
      <m:oMath>
        <m:r>
          <m:t>σ</m:t>
        </m:r>
      </m:oMath>
      <w:r>
        <w:t xml:space="preserve">), is the same across all of our conditions, i.e., they are homoscedastic. This is indeed supported by the data insofar as our conditions have very similar variances, as shown in</w:t>
      </w:r>
      <w:r>
        <w:t xml:space="preserve"> </w:t>
      </w:r>
      <w:hyperlink w:anchor="tbl-data-balance">
        <w:r>
          <w:rPr>
            <w:rStyle w:val="Hyperlink"/>
          </w:rPr>
          <w:t xml:space="preserve">Table 2</w:t>
        </w:r>
      </w:hyperlink>
      <w:r>
        <w:t xml:space="preserve">, and therefore the variance in our residuals will be constant across all levels of</w:t>
      </w:r>
      <w:r>
        <w:t xml:space="preserve"> </w:t>
      </w:r>
      <w:r>
        <w:rPr>
          <w:rStyle w:val="VerbatimChar"/>
        </w:rPr>
        <w:t xml:space="preserve">cond</w:t>
      </w:r>
      <w:r>
        <w:t xml:space="preserve">. Sometimes, however, our conditions will not necessarily meet the assumption of equal variances. Indeed, as pointed out by</w:t>
      </w:r>
      <w:r>
        <w:t xml:space="preserve"> </w:t>
      </w:r>
      <w:r>
        <w:t xml:space="preserve">Birdsong (2018, p. 1)</w:t>
      </w:r>
      <w:r>
        <w:t xml:space="preserve">,</w:t>
      </w:r>
      <w:r>
        <w:t xml:space="preserve"> </w:t>
      </w:r>
      <w:r>
        <w:t xml:space="preserve">“non-uniformity is an inherent characteristic of both early and late bilingualism”</w:t>
      </w:r>
      <w:r>
        <w:t xml:space="preserve">. For example, heteroscedastic data are frequently found in age effects, as older learners show higher variance than younger learners when it comes to ultimate attainment</w:t>
      </w:r>
      <w:r>
        <w:t xml:space="preserve"> </w:t>
      </w:r>
      <w:r>
        <w:t xml:space="preserve">(Vanhove, 2013, p. 11)</w:t>
      </w:r>
      <w:r>
        <w:t xml:space="preserve">.</w:t>
      </w:r>
    </w:p>
    <w:p>
      <w:pPr>
        <w:pStyle w:val="BodyText"/>
      </w:pPr>
      <w:r>
        <w:t xml:space="preserve">The situation just described brings us to one additional advantage of a Bayesian approach, namely, that we can directly deal with heteroscedastic data by estimating variance itself. This provides the researcher with a higher degree of flexibility than typical Frequentist methods (e.g., robust regression models), and results in more reliable posterior distributions of effect sizes, as will be shown in below. Here, again, it is clear that more reliable posterior distributions will directly impact the reliability of multiple comparisons derived from said distributions. In this section, we will briefly see (a) how to estimate the standard deviation (</w:t>
      </w:r>
      <m:oMath>
        <m:r>
          <m:t>σ</m:t>
        </m:r>
      </m:oMath>
      <w:r>
        <w:t xml:space="preserve">) across the conditions in</w:t>
      </w:r>
      <w:r>
        <w:t xml:space="preserve"> </w:t>
      </w:r>
      <w:r>
        <w:rPr>
          <w:rStyle w:val="VerbatimChar"/>
        </w:rPr>
        <w:t xml:space="preserve">cond</w:t>
      </w:r>
      <w:r>
        <w:t xml:space="preserve"> </w:t>
      </w:r>
      <w:r>
        <w:t xml:space="preserve">and (b) how this can affect our estimates.</w:t>
      </w:r>
    </w:p>
    <w:p>
      <w:pPr>
        <w:pStyle w:val="BodyText"/>
      </w:pPr>
      <w:r>
        <w:t xml:space="preserve">The data set</w:t>
      </w:r>
      <w:r>
        <w:t xml:space="preserve"> </w:t>
      </w:r>
      <w:r>
        <w:rPr>
          <w:rStyle w:val="VerbatimChar"/>
        </w:rPr>
        <w:t xml:space="preserve">d_het</w:t>
      </w:r>
      <w:r>
        <w:t xml:space="preserve"> </w:t>
      </w:r>
      <w:r>
        <w:t xml:space="preserve">contains a modified version of</w:t>
      </w:r>
      <w:r>
        <w:t xml:space="preserve"> </w:t>
      </w:r>
      <w:r>
        <w:rPr>
          <w:rStyle w:val="VerbatimChar"/>
        </w:rPr>
        <w:t xml:space="preserve">d</w:t>
      </w:r>
      <w:r>
        <w:t xml:space="preserve"> </w:t>
      </w:r>
      <w:r>
        <w:t xml:space="preserve">in which the condition</w:t>
      </w:r>
      <w:r>
        <w:t xml:space="preserve"> </w:t>
      </w:r>
      <w:r>
        <w:rPr>
          <w:rStyle w:val="VerbatimChar"/>
        </w:rPr>
        <w:t xml:space="preserve">c4</w:t>
      </w:r>
      <w:r>
        <w:t xml:space="preserve"> </w:t>
      </w:r>
      <w:r>
        <w:t xml:space="preserve">has a considerably lower variance than all the other conditions. This can be verified in</w:t>
      </w:r>
      <w:r>
        <w:t xml:space="preserve"> </w:t>
      </w:r>
      <w:hyperlink w:anchor="lst-dhet">
        <w:r>
          <w:rPr>
            <w:rStyle w:val="Hyperlink"/>
          </w:rPr>
          <w:t xml:space="preserve">Listing 11</w:t>
        </w:r>
      </w:hyperlink>
      <w:r>
        <w:t xml:space="preserve"> </w:t>
      </w:r>
      <w:r>
        <w:t xml:space="preserve">(cf.</w:t>
      </w:r>
      <w:r>
        <w:t xml:space="preserve"> </w:t>
      </w:r>
      <w:hyperlink w:anchor="tbl-data-balance">
        <w:r>
          <w:rPr>
            <w:rStyle w:val="Hyperlink"/>
          </w:rPr>
          <w:t xml:space="preserve">Table 2</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69" w:name="lst-dhet"/>
          <w:p>
            <w:pPr>
              <w:jc w:val="center"/>
            </w:pPr>
            <w:pPr>
              <w:jc w:val="left"/>
              <w:spacing w:before="200"/>
              <w:pStyle w:val="ImageCaption"/>
            </w:pPr>
            <w:r>
              <w:t xml:space="preserve">Listing 11: Modified data</w:t>
            </w:r>
            <w:r>
              <w:t xml:space="preserve"> </w:t>
            </w:r>
            <w:r>
              <w:rPr>
                <w:rStyle w:val="VerbatimChar"/>
              </w:rPr>
              <w:t xml:space="preserve">d_het</w:t>
            </w:r>
            <w:r>
              <w:t xml:space="preserve">: number of observations per condition (</w:t>
            </w:r>
            <w:r>
              <w:rPr>
                <w:rStyle w:val="VerbatimChar"/>
              </w:rPr>
              <w:t xml:space="preserve">cond</w:t>
            </w:r>
            <w:r>
              <w:t xml:space="preserve">), means, variances, and standard deviations of responses (</w:t>
            </w:r>
            <w:r>
              <w:rPr>
                <w:rStyle w:val="VerbatimChar"/>
              </w:rPr>
              <w:t xml:space="preserve">resp</w:t>
            </w:r>
            <w:r>
              <w:t xml:space="preserve">).</w:t>
            </w:r>
          </w:p>
          <w:p>
            <w:pPr>
              <w:pStyle w:val="SourceCode"/>
              <w:jc w:val="center"/>
            </w:pPr>
            <w:r>
              <w:rPr>
                <w:rStyle w:val="NormalTok"/>
              </w:rPr>
              <w:t xml:space="preserve">d_het </w:t>
            </w:r>
            <w:r>
              <w:rPr>
                <w:rStyle w:val="SpecialCharTok"/>
              </w:rPr>
              <w:t xml:space="preserve">|&gt;</w:t>
            </w:r>
            <w:r>
              <w:rPr>
                <w:rStyle w:val="NormalTok"/>
              </w:rPr>
              <w:t xml:space="preserve"> </w:t>
            </w:r>
            <w:r>
              <w:br/>
            </w:r>
            <w:r>
              <w:rPr>
                <w:rStyle w:val="NormalTok"/>
              </w:rPr>
              <w:t xml:space="preserve">  </w:t>
            </w:r>
            <w:r>
              <w:rPr>
                <w:rStyle w:val="FunctionTok"/>
              </w:rPr>
              <w:t xml:space="preserve">summarize</w:t>
            </w:r>
            <w:r>
              <w:rPr>
                <w:rStyle w:val="NormalTok"/>
              </w:rPr>
              <w:t xml:space="preserve">(</w:t>
            </w:r>
            <w:r>
              <w:rPr>
                <w:rStyle w:val="AttributeTok"/>
              </w:rPr>
              <w:t xml:space="preserve">n =</w:t>
            </w:r>
            <w:r>
              <w:rPr>
                <w:rStyle w:val="NormalTok"/>
              </w:rPr>
              <w:t xml:space="preserve"> </w:t>
            </w:r>
            <w:r>
              <w:rPr>
                <w:rStyle w:val="FunctionTok"/>
              </w:rPr>
              <w:t xml:space="preserve">n</w:t>
            </w:r>
            <w:r>
              <w:rPr>
                <w:rStyle w:val="NormalTok"/>
              </w:rPr>
              <w:t xml:space="preserve">(), </w:t>
            </w:r>
            <w:r>
              <w:br/>
            </w:r>
            <w:r>
              <w:rPr>
                <w:rStyle w:val="NormalTok"/>
              </w:rPr>
              <w:t xml:space="preserve">            </w:t>
            </w:r>
            <w:r>
              <w:rPr>
                <w:rStyle w:val="AttributeTok"/>
              </w:rPr>
              <w:t xml:space="preserve">Mean =</w:t>
            </w:r>
            <w:r>
              <w:rPr>
                <w:rStyle w:val="NormalTok"/>
              </w:rPr>
              <w:t xml:space="preserve"> </w:t>
            </w:r>
            <w:r>
              <w:rPr>
                <w:rStyle w:val="FunctionTok"/>
              </w:rPr>
              <w:t xml:space="preserve">mean</w:t>
            </w:r>
            <w:r>
              <w:rPr>
                <w:rStyle w:val="NormalTok"/>
              </w:rPr>
              <w:t xml:space="preserve">(resp),</w:t>
            </w:r>
            <w:r>
              <w:br/>
            </w:r>
            <w:r>
              <w:rPr>
                <w:rStyle w:val="NormalTok"/>
              </w:rPr>
              <w:t xml:space="preserve">            </w:t>
            </w:r>
            <w:r>
              <w:rPr>
                <w:rStyle w:val="AttributeTok"/>
              </w:rPr>
              <w:t xml:space="preserve">Var =</w:t>
            </w:r>
            <w:r>
              <w:rPr>
                <w:rStyle w:val="NormalTok"/>
              </w:rPr>
              <w:t xml:space="preserve"> </w:t>
            </w:r>
            <w:r>
              <w:rPr>
                <w:rStyle w:val="FunctionTok"/>
              </w:rPr>
              <w:t xml:space="preserve">var</w:t>
            </w:r>
            <w:r>
              <w:rPr>
                <w:rStyle w:val="NormalTok"/>
              </w:rPr>
              <w:t xml:space="preserve">(resp),</w:t>
            </w:r>
            <w:r>
              <w:br/>
            </w:r>
            <w:r>
              <w:rPr>
                <w:rStyle w:val="NormalTok"/>
              </w:rPr>
              <w:t xml:space="preserve">            </w:t>
            </w:r>
            <w:r>
              <w:rPr>
                <w:rStyle w:val="AttributeTok"/>
              </w:rPr>
              <w:t xml:space="preserve">SD =</w:t>
            </w:r>
            <w:r>
              <w:rPr>
                <w:rStyle w:val="NormalTok"/>
              </w:rPr>
              <w:t xml:space="preserve"> </w:t>
            </w:r>
            <w:r>
              <w:rPr>
                <w:rStyle w:val="FunctionTok"/>
              </w:rPr>
              <w:t xml:space="preserve">sd</w:t>
            </w:r>
            <w:r>
              <w:rPr>
                <w:rStyle w:val="NormalTok"/>
              </w:rPr>
              <w:t xml:space="preserve">(resp),</w:t>
            </w:r>
            <w:r>
              <w:br/>
            </w:r>
            <w:r>
              <w:rPr>
                <w:rStyle w:val="NormalTok"/>
              </w:rPr>
              <w:t xml:space="preserve">            </w:t>
            </w:r>
            <w:r>
              <w:rPr>
                <w:rStyle w:val="AttributeTok"/>
              </w:rPr>
              <w:t xml:space="preserve">.by =</w:t>
            </w:r>
            <w:r>
              <w:rPr>
                <w:rStyle w:val="NormalTok"/>
              </w:rPr>
              <w:t xml:space="preserve"> cond) </w:t>
            </w:r>
            <w:r>
              <w:rPr>
                <w:rStyle w:val="SpecialCharTok"/>
              </w:rPr>
              <w:t xml:space="preserve">|&gt;</w:t>
            </w:r>
            <w:r>
              <w:rPr>
                <w:rStyle w:val="NormalTok"/>
              </w:rPr>
              <w:t xml:space="preserve"> </w:t>
            </w:r>
            <w:r>
              <w:br/>
            </w:r>
            <w:r>
              <w:rPr>
                <w:rStyle w:val="NormalTok"/>
              </w:rPr>
              <w:t xml:space="preserve">  </w:t>
            </w:r>
            <w:r>
              <w:rPr>
                <w:rStyle w:val="FunctionTok"/>
              </w:rPr>
              <w:t xml:space="preserve">arrange</w:t>
            </w:r>
            <w:r>
              <w:rPr>
                <w:rStyle w:val="NormalTok"/>
              </w:rPr>
              <w:t xml:space="preserve">(cond)</w:t>
            </w:r>
            <w:r>
              <w:br/>
            </w:r>
            <w:r>
              <w:rPr>
                <w:rStyle w:val="CommentTok"/>
              </w:rPr>
              <w:t xml:space="preserve">#&gt; # A tibble: 5 × 5</w:t>
            </w:r>
            <w:r>
              <w:br/>
            </w:r>
            <w:r>
              <w:rPr>
                <w:rStyle w:val="CommentTok"/>
              </w:rPr>
              <w:t xml:space="preserve">#&gt;   cond      n  Mean     Var     SD</w:t>
            </w:r>
            <w:r>
              <w:br/>
            </w:r>
            <w:r>
              <w:rPr>
                <w:rStyle w:val="CommentTok"/>
              </w:rPr>
              <w:t xml:space="preserve">#&gt;   &lt;fct&gt; &lt;int&gt; &lt;dbl&gt;   &lt;dbl&gt;  &lt;dbl&gt;</w:t>
            </w:r>
            <w:r>
              <w:br/>
            </w:r>
            <w:r>
              <w:rPr>
                <w:rStyle w:val="CommentTok"/>
              </w:rPr>
              <w:t xml:space="preserve">#&gt; 1 c1      209  6.81 0.0402  0.200 </w:t>
            </w:r>
            <w:r>
              <w:br/>
            </w:r>
            <w:r>
              <w:rPr>
                <w:rStyle w:val="CommentTok"/>
              </w:rPr>
              <w:t xml:space="preserve">#&gt; 2 c2      215  6.76 0.0460  0.214 </w:t>
            </w:r>
            <w:r>
              <w:br/>
            </w:r>
            <w:r>
              <w:rPr>
                <w:rStyle w:val="CommentTok"/>
              </w:rPr>
              <w:t xml:space="preserve">#&gt; 3 c3      189  6.86 0.0339  0.184 </w:t>
            </w:r>
            <w:r>
              <w:br/>
            </w:r>
            <w:r>
              <w:rPr>
                <w:rStyle w:val="CommentTok"/>
              </w:rPr>
              <w:t xml:space="preserve">#&gt; 4 c4       50  6.85 0.00893 0.0945</w:t>
            </w:r>
            <w:r>
              <w:br/>
            </w:r>
            <w:r>
              <w:rPr>
                <w:rStyle w:val="CommentTok"/>
              </w:rPr>
              <w:t xml:space="preserve">#&gt; 5 c5      213  6.75 0.0253  0.159</w:t>
            </w:r>
          </w:p>
          <w:bookmarkEnd w:id="69"/>
        </w:tc>
      </w:tr>
    </w:tbl>
    <w:p>
      <w:pPr>
        <w:pStyle w:val="FirstParagraph"/>
      </w:pPr>
      <w:r>
        <w:t xml:space="preserve">The reader can also see how the new variance of</w:t>
      </w:r>
      <w:r>
        <w:t xml:space="preserve"> </w:t>
      </w:r>
      <w:r>
        <w:rPr>
          <w:rStyle w:val="VerbatimChar"/>
        </w:rPr>
        <w:t xml:space="preserve">c4</w:t>
      </w:r>
      <w:r>
        <w:t xml:space="preserve"> </w:t>
      </w:r>
      <w:r>
        <w:t xml:space="preserve">affects the spread of the data, and thus the height of the box plot for</w:t>
      </w:r>
      <w:r>
        <w:t xml:space="preserve"> </w:t>
      </w:r>
      <w:r>
        <w:rPr>
          <w:rStyle w:val="VerbatimChar"/>
        </w:rPr>
        <w:t xml:space="preserve">c4</w:t>
      </w:r>
      <w:r>
        <w:t xml:space="preserve">, in</w:t>
      </w:r>
      <w:r>
        <w:t xml:space="preserve"> </w:t>
      </w:r>
      <w:hyperlink w:anchor="fig-fighet">
        <w:r>
          <w:rPr>
            <w:rStyle w:val="Hyperlink"/>
          </w:rPr>
          <w:t xml:space="preserve">Figure 6</w:t>
        </w:r>
      </w:hyperlink>
      <w:r>
        <w:t xml:space="preserve">. The figure in question can be directly compared to</w:t>
      </w:r>
      <w:r>
        <w:t xml:space="preserve"> </w:t>
      </w:r>
      <w:hyperlink w:anchor="fig-fig1">
        <w:r>
          <w:rPr>
            <w:rStyle w:val="Hyperlink"/>
          </w:rPr>
          <w:t xml:space="preserve">Figure 1</w:t>
        </w:r>
      </w:hyperlink>
      <w:r>
        <w:t xml:space="preserve"> </w:t>
      </w:r>
      <w:r>
        <w:t xml:space="preserve">presented at the beginning of this paper.</w:t>
      </w:r>
    </w:p>
    <w:tbl>
      <w:tblPr>
        <w:tblStyle w:val="Table"/>
        <w:tblW w:type="pct" w:w="5000"/>
        <w:tblLayout w:type="fixed"/>
        <w:tblLook w:firstRow="0" w:lastRow="0" w:firstColumn="0" w:lastColumn="0" w:noHBand="0" w:noVBand="0" w:val="0000"/>
      </w:tblPr>
      <w:tblGrid>
        <w:gridCol w:w="7920"/>
      </w:tblGrid>
      <w:tr>
        <w:tc>
          <w:tcPr/>
          <w:bookmarkStart w:id="73" w:name="fig-fighet"/>
          <w:p>
            <w:pPr>
              <w:pStyle w:val="Compact"/>
              <w:jc w:val="center"/>
            </w:pPr>
            <w:r>
              <w:drawing>
                <wp:inline>
                  <wp:extent cx="3566160" cy="2139696"/>
                  <wp:effectExtent b="0" l="0" r="0" t="0"/>
                  <wp:docPr descr="" title="" id="71" name="Picture"/>
                  <a:graphic>
                    <a:graphicData uri="http://schemas.openxmlformats.org/drawingml/2006/picture">
                      <pic:pic>
                        <pic:nvPicPr>
                          <pic:cNvPr descr="multcomp_doc_files/figure-docx/fig-fighet-1.png" id="72" name="Picture"/>
                          <pic:cNvPicPr>
                            <a:picLocks noChangeArrowheads="1" noChangeAspect="1"/>
                          </pic:cNvPicPr>
                        </pic:nvPicPr>
                        <pic:blipFill>
                          <a:blip r:embed="rId70"/>
                          <a:stretch>
                            <a:fillRect/>
                          </a:stretch>
                        </pic:blipFill>
                        <pic:spPr bwMode="auto">
                          <a:xfrm>
                            <a:off x="0" y="0"/>
                            <a:ext cx="3566160" cy="2139696"/>
                          </a:xfrm>
                          <a:prstGeom prst="rect">
                            <a:avLst/>
                          </a:prstGeom>
                          <a:noFill/>
                          <a:ln w="9525">
                            <a:noFill/>
                            <a:headEnd/>
                            <a:tailEnd/>
                          </a:ln>
                        </pic:spPr>
                      </pic:pic>
                    </a:graphicData>
                  </a:graphic>
                </wp:inline>
              </w:drawing>
            </w:r>
          </w:p>
          <w:p>
            <w:pPr>
              <w:jc w:val="center"/>
            </w:pPr>
            <w:pPr>
              <w:jc w:val="left"/>
              <w:spacing w:before="200"/>
              <w:pStyle w:val="ImageCaption"/>
            </w:pPr>
            <w:r>
              <w:t xml:space="preserve">Figure 6: Overall patterns in the data: box plots and associated means (orange dots) and standard errors (not visible). Notice variance of</w:t>
            </w:r>
            <w:r>
              <w:t xml:space="preserve"> </w:t>
            </w:r>
            <w:r>
              <w:rPr>
                <w:rStyle w:val="VerbatimChar"/>
              </w:rPr>
              <w:t xml:space="preserve">c4</w:t>
            </w:r>
            <w:r>
              <w:t xml:space="preserve"> </w:t>
            </w:r>
            <w:r>
              <w:t xml:space="preserve">condition.</w:t>
            </w:r>
          </w:p>
          <w:bookmarkEnd w:id="73"/>
        </w:tc>
      </w:tr>
    </w:tbl>
    <w:p>
      <w:pPr>
        <w:pStyle w:val="BodyText"/>
      </w:pPr>
      <w:r>
        <w:t xml:space="preserve">We will run two models. First,</w:t>
      </w:r>
      <w:r>
        <w:t xml:space="preserve"> </w:t>
      </w:r>
      <w:r>
        <w:rPr>
          <w:rStyle w:val="VerbatimChar"/>
        </w:rPr>
        <w:t xml:space="preserve">bFit2</w:t>
      </w:r>
      <w:r>
        <w:t xml:space="preserve">, which represents the same model as</w:t>
      </w:r>
      <w:r>
        <w:t xml:space="preserve"> </w:t>
      </w:r>
      <w:r>
        <w:rPr>
          <w:rStyle w:val="VerbatimChar"/>
        </w:rPr>
        <w:t xml:space="preserve">bFit1</w:t>
      </w:r>
      <w:r>
        <w:t xml:space="preserve"> </w:t>
      </w:r>
      <w:r>
        <w:t xml:space="preserve">run earlier. This will be a typical linear regression where we do not estimate varying standard deviations, i.e., a model that assumes homoscedasticity. We will then run</w:t>
      </w:r>
      <w:r>
        <w:t xml:space="preserve"> </w:t>
      </w:r>
      <w:r>
        <w:rPr>
          <w:rStyle w:val="VerbatimChar"/>
        </w:rPr>
        <w:t xml:space="preserve">bFit3</w:t>
      </w:r>
      <w:r>
        <w:t xml:space="preserve">, a model that estimates standard deviations (</w:t>
      </w:r>
      <w:r>
        <w:rPr>
          <w:rStyle w:val="VerbatimChar"/>
        </w:rPr>
        <w:t xml:space="preserve">sigma</w:t>
      </w:r>
      <w:r>
        <w:t xml:space="preserve">) as well as the fixed and random effects estimated by</w:t>
      </w:r>
      <w:r>
        <w:t xml:space="preserve"> </w:t>
      </w:r>
      <w:r>
        <w:rPr>
          <w:rStyle w:val="VerbatimChar"/>
        </w:rPr>
        <w:t xml:space="preserve">bFit2</w:t>
      </w:r>
      <w:r>
        <w:t xml:space="preserve">. While our new model requires a new function in its specification (</w:t>
      </w:r>
      <w:r>
        <w:rPr>
          <w:rStyle w:val="VerbatimChar"/>
        </w:rPr>
        <w:t xml:space="preserve">bf()</w:t>
      </w:r>
      <w:r>
        <w:t xml:space="preserve"> </w:t>
      </w:r>
      <w:r>
        <w:t xml:space="preserve">within</w:t>
      </w:r>
      <w:r>
        <w:t xml:space="preserve"> </w:t>
      </w:r>
      <w:r>
        <w:rPr>
          <w:rStyle w:val="VerbatimChar"/>
        </w:rPr>
        <w:t xml:space="preserve">brm()</w:t>
      </w:r>
      <w:r>
        <w:t xml:space="preserve">), its interpretation is straightforward. These models will be directly comparable as they will share the same priors as well (with the exception of the prior set for</w:t>
      </w:r>
      <w:r>
        <w:t xml:space="preserve"> </w:t>
      </w:r>
      <w:r>
        <w:rPr>
          <w:rStyle w:val="VerbatimChar"/>
        </w:rPr>
        <w:t xml:space="preserve">sigma</w:t>
      </w:r>
      <w:r>
        <w:t xml:space="preserve"> </w:t>
      </w:r>
      <w:r>
        <w:t xml:space="preserve">in</w:t>
      </w:r>
      <w:r>
        <w:t xml:space="preserve"> </w:t>
      </w:r>
      <w:r>
        <w:rPr>
          <w:rStyle w:val="VerbatimChar"/>
        </w:rPr>
        <w:t xml:space="preserve">bFit3</w:t>
      </w:r>
      <w:r>
        <w:t xml:space="preserve">). Both models, as well as the priors for</w:t>
      </w:r>
      <w:r>
        <w:t xml:space="preserve"> </w:t>
      </w:r>
      <w:r>
        <w:rPr>
          <w:rStyle w:val="VerbatimChar"/>
        </w:rPr>
        <w:t xml:space="preserve">bFit3</w:t>
      </w:r>
      <w:r>
        <w:t xml:space="preserve">, are shown in</w:t>
      </w:r>
      <w:r>
        <w:t xml:space="preserve"> </w:t>
      </w:r>
      <w:hyperlink w:anchor="lst-bFit23">
        <w:r>
          <w:rPr>
            <w:rStyle w:val="Hyperlink"/>
          </w:rPr>
          <w:t xml:space="preserve">Listing 12</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74" w:name="lst-bFit23"/>
          <w:p>
            <w:pPr>
              <w:jc w:val="center"/>
            </w:pPr>
            <w:pPr>
              <w:jc w:val="left"/>
              <w:spacing w:before="200"/>
              <w:pStyle w:val="ImageCaption"/>
            </w:pPr>
            <w:r>
              <w:t xml:space="preserve">Listing 12: Estimating</w:t>
            </w:r>
            <w:r>
              <w:t xml:space="preserve"> </w:t>
            </w:r>
            <w:r>
              <w:rPr>
                <w:rStyle w:val="VerbatimChar"/>
              </w:rPr>
              <w:t xml:space="preserve">sigma</w:t>
            </w:r>
            <w:r>
              <w:t xml:space="preserve"> </w:t>
            </w:r>
            <w:r>
              <w:t xml:space="preserve">in a linear regression.</w:t>
            </w:r>
          </w:p>
          <w:p>
            <w:pPr>
              <w:pStyle w:val="SourceCode"/>
              <w:jc w:val="center"/>
            </w:pPr>
            <w:r>
              <w:rPr>
                <w:rStyle w:val="CommentTok"/>
              </w:rPr>
              <w:t xml:space="preserve"># bFit2: our "baseline" model</w:t>
            </w:r>
            <w:r>
              <w:br/>
            </w:r>
            <w:r>
              <w:rPr>
                <w:rStyle w:val="NormalTok"/>
              </w:rPr>
              <w:t xml:space="preserve">bFit2 </w:t>
            </w:r>
            <w:r>
              <w:rPr>
                <w:rStyle w:val="OtherTok"/>
              </w:rPr>
              <w:t xml:space="preserve">=</w:t>
            </w:r>
            <w:r>
              <w:rPr>
                <w:rStyle w:val="NormalTok"/>
              </w:rPr>
              <w:t xml:space="preserve"> </w:t>
            </w:r>
            <w:r>
              <w:rPr>
                <w:rStyle w:val="FunctionTok"/>
              </w:rPr>
              <w:t xml:space="preserve">brm</w:t>
            </w:r>
            <w:r>
              <w:rPr>
                <w:rStyle w:val="NormalTok"/>
              </w:rPr>
              <w:t xml:space="preserve">(resp </w:t>
            </w:r>
            <w:r>
              <w:rPr>
                <w:rStyle w:val="SpecialCharTok"/>
              </w:rPr>
              <w:t xml:space="preserve">~</w:t>
            </w:r>
            <w:r>
              <w:rPr>
                <w:rStyle w:val="NormalTok"/>
              </w:rPr>
              <w:t xml:space="preserve"> cond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cond </w:t>
            </w:r>
            <w:r>
              <w:rPr>
                <w:rStyle w:val="SpecialCharTok"/>
              </w:rPr>
              <w:t xml:space="preserve">|</w:t>
            </w:r>
            <w:r>
              <w:rPr>
                <w:rStyle w:val="NormalTok"/>
              </w:rPr>
              <w:t xml:space="preserve"> part)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item),</w:t>
            </w:r>
            <w:r>
              <w:br/>
            </w:r>
            <w:r>
              <w:rPr>
                <w:rStyle w:val="NormalTok"/>
              </w:rPr>
              <w:t xml:space="preserve">            </w:t>
            </w:r>
            <w:r>
              <w:rPr>
                <w:rStyle w:val="AttributeTok"/>
              </w:rPr>
              <w:t xml:space="preserve">data =</w:t>
            </w:r>
            <w:r>
              <w:rPr>
                <w:rStyle w:val="NormalTok"/>
              </w:rPr>
              <w:t xml:space="preserve"> d_het,</w:t>
            </w:r>
            <w:r>
              <w:br/>
            </w:r>
            <w:r>
              <w:rPr>
                <w:rStyle w:val="NormalTok"/>
              </w:rPr>
              <w:t xml:space="preserve">            </w:t>
            </w:r>
            <w:r>
              <w:rPr>
                <w:rStyle w:val="AttributeTok"/>
              </w:rPr>
              <w:t xml:space="preserve">family =</w:t>
            </w:r>
            <w:r>
              <w:rPr>
                <w:rStyle w:val="NormalTok"/>
              </w:rPr>
              <w:t xml:space="preserve"> </w:t>
            </w:r>
            <w:r>
              <w:rPr>
                <w:rStyle w:val="FunctionTok"/>
              </w:rPr>
              <w:t xml:space="preserve">gaussian</w:t>
            </w:r>
            <w:r>
              <w:rPr>
                <w:rStyle w:val="NormalTok"/>
              </w:rPr>
              <w:t xml:space="preserve">(),</w:t>
            </w:r>
            <w:r>
              <w:br/>
            </w:r>
            <w:r>
              <w:rPr>
                <w:rStyle w:val="NormalTok"/>
              </w:rPr>
              <w:t xml:space="preserve">            </w:t>
            </w:r>
            <w:r>
              <w:rPr>
                <w:rStyle w:val="AttributeTok"/>
              </w:rPr>
              <w:t xml:space="preserve">cores =</w:t>
            </w:r>
            <w:r>
              <w:rPr>
                <w:rStyle w:val="NormalTok"/>
              </w:rPr>
              <w:t xml:space="preserve"> </w:t>
            </w:r>
            <w:r>
              <w:rPr>
                <w:rStyle w:val="DecValTok"/>
              </w:rPr>
              <w:t xml:space="preserve">4</w:t>
            </w:r>
            <w:r>
              <w:rPr>
                <w:rStyle w:val="NormalTok"/>
              </w:rPr>
              <w:t xml:space="preserve">,</w:t>
            </w:r>
            <w:r>
              <w:br/>
            </w:r>
            <w:r>
              <w:rPr>
                <w:rStyle w:val="NormalTok"/>
              </w:rPr>
              <w:t xml:space="preserve">            </w:t>
            </w:r>
            <w:r>
              <w:rPr>
                <w:rStyle w:val="AttributeTok"/>
              </w:rPr>
              <w:t xml:space="preserve">prior =</w:t>
            </w:r>
            <w:r>
              <w:rPr>
                <w:rStyle w:val="NormalTok"/>
              </w:rPr>
              <w:t xml:space="preserve"> priors1, </w:t>
            </w:r>
            <w:r>
              <w:rPr>
                <w:rStyle w:val="CommentTok"/>
              </w:rPr>
              <w:t xml:space="preserve"># same priors used for bFit1 earlier</w:t>
            </w:r>
            <w:r>
              <w:br/>
            </w:r>
            <w:r>
              <w:rPr>
                <w:rStyle w:val="NormalTok"/>
              </w:rPr>
              <w:t xml:space="preserve">            </w:t>
            </w:r>
            <w:r>
              <w:rPr>
                <w:rStyle w:val="AttributeTok"/>
              </w:rPr>
              <w:t xml:space="preserve">save_model =</w:t>
            </w:r>
            <w:r>
              <w:rPr>
                <w:rStyle w:val="NormalTok"/>
              </w:rPr>
              <w:t xml:space="preserve"> </w:t>
            </w:r>
            <w:r>
              <w:rPr>
                <w:rStyle w:val="StringTok"/>
              </w:rPr>
              <w:t xml:space="preserve">"bFit2.stan"</w:t>
            </w:r>
            <w:r>
              <w:rPr>
                <w:rStyle w:val="NormalTok"/>
              </w:rPr>
              <w:t xml:space="preserve">)</w:t>
            </w:r>
            <w:r>
              <w:br/>
            </w:r>
            <w:r>
              <w:br/>
            </w:r>
            <w:r>
              <w:rPr>
                <w:rStyle w:val="CommentTok"/>
              </w:rPr>
              <w:t xml:space="preserve"># Setting priors for bFit3:</w:t>
            </w:r>
            <w:r>
              <w:br/>
            </w:r>
            <w:r>
              <w:rPr>
                <w:rStyle w:val="NormalTok"/>
              </w:rPr>
              <w:t xml:space="preserve">priors2 </w:t>
            </w:r>
            <w:r>
              <w:rPr>
                <w:rStyle w:val="OtherTok"/>
              </w:rPr>
              <w:t xml:space="preserve">=</w:t>
            </w:r>
            <w:r>
              <w:rPr>
                <w:rStyle w:val="NormalTok"/>
              </w:rPr>
              <w:t xml:space="preserve"> </w:t>
            </w:r>
            <w:r>
              <w:rPr>
                <w:rStyle w:val="FunctionTok"/>
              </w:rPr>
              <w:t xml:space="preserve">c</w:t>
            </w:r>
            <w:r>
              <w:rPr>
                <w:rStyle w:val="Normal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"normal(7, 1)"</w:t>
            </w:r>
            <w:r>
              <w:rPr>
                <w:rStyle w:val="NormalTok"/>
              </w:rPr>
              <w:t xml:space="preserve">, </w:t>
            </w:r>
            <w:r>
              <w:rPr>
                <w:rStyle w:val="AttributeTok"/>
              </w:rPr>
              <w:t xml:space="preserve">class =</w:t>
            </w:r>
            <w:r>
              <w:rPr>
                <w:rStyle w:val="NormalTok"/>
              </w:rPr>
              <w:t xml:space="preserve"> </w:t>
            </w:r>
            <w:r>
              <w:rPr>
                <w:rStyle w:val="StringTok"/>
              </w:rPr>
              <w:t xml:space="preserve">"Intercept"</w:t>
            </w:r>
            <w:r>
              <w:rPr>
                <w:rStyle w:val="NormalTok"/>
              </w:rPr>
              <w:t xml:space="preserve">), </w:t>
            </w:r>
            <w:r>
              <w:br/>
            </w:r>
            <w:r>
              <w:rPr>
                <w:rStyle w:val="NormalTok"/>
              </w:rPr>
              <w:t xml:space="preserve">  </w:t>
            </w:r>
            <w:r>
              <w:rPr>
                <w:rStyle w:val="FunctionTok"/>
              </w:rPr>
              <w:t xml:space="preserve">set_prior</w:t>
            </w:r>
            <w:r>
              <w:rPr>
                <w:rStyle w:val="NormalTok"/>
              </w:rPr>
              <w:t xml:space="preserve">(</w:t>
            </w:r>
            <w:r>
              <w:rPr>
                <w:rStyle w:val="StringTok"/>
              </w:rPr>
              <w:t xml:space="preserve">"normal(0, 1)"</w:t>
            </w:r>
            <w:r>
              <w:rPr>
                <w:rStyle w:val="NormalTok"/>
              </w:rPr>
              <w:t xml:space="preserve">, </w:t>
            </w:r>
            <w:r>
              <w:rPr>
                <w:rStyle w:val="AttributeTok"/>
              </w:rPr>
              <w:t xml:space="preserve">class =</w:t>
            </w:r>
            <w:r>
              <w:rPr>
                <w:rStyle w:val="NormalTok"/>
              </w:rPr>
              <w:t xml:space="preserve"> </w:t>
            </w:r>
            <w:r>
              <w:rPr>
                <w:rStyle w:val="StringTok"/>
              </w:rPr>
              <w:t xml:space="preserve">"b"</w:t>
            </w:r>
            <w:r>
              <w:rPr>
                <w:rStyle w:val="NormalTok"/>
              </w:rPr>
              <w:t xml:space="preserve">),</w:t>
            </w:r>
            <w:r>
              <w:br/>
            </w:r>
            <w:r>
              <w:rPr>
                <w:rStyle w:val="NormalTok"/>
              </w:rPr>
              <w:t xml:space="preserve">  </w:t>
            </w:r>
            <w:r>
              <w:br/>
            </w:r>
            <w:r>
              <w:rPr>
                <w:rStyle w:val="NormalTok"/>
              </w:rPr>
              <w:t xml:space="preserve">  </w:t>
            </w:r>
            <w:r>
              <w:rPr>
                <w:rStyle w:val="CommentTok"/>
              </w:rPr>
              <w:t xml:space="preserve"># Prior for the intercept of log(sigma)</w:t>
            </w:r>
            <w:r>
              <w:br/>
            </w:r>
            <w:r>
              <w:rPr>
                <w:rStyle w:val="NormalTok"/>
              </w:rPr>
              <w:t xml:space="preserve">  </w:t>
            </w:r>
            <w:r>
              <w:rPr>
                <w:rStyle w:val="FunctionTok"/>
              </w:rPr>
              <w:t xml:space="preserve">set_prior</w:t>
            </w:r>
            <w:r>
              <w:rPr>
                <w:rStyle w:val="NormalTok"/>
              </w:rPr>
              <w:t xml:space="preserve">(</w:t>
            </w:r>
            <w:r>
              <w:rPr>
                <w:rStyle w:val="StringTok"/>
              </w:rPr>
              <w:t xml:space="preserve">"normal(0, 1)"</w:t>
            </w:r>
            <w:r>
              <w:rPr>
                <w:rStyle w:val="NormalTok"/>
              </w:rPr>
              <w:t xml:space="preserve">, </w:t>
            </w:r>
            <w:r>
              <w:rPr>
                <w:rStyle w:val="AttributeTok"/>
              </w:rPr>
              <w:t xml:space="preserve">class =</w:t>
            </w:r>
            <w:r>
              <w:rPr>
                <w:rStyle w:val="NormalTok"/>
              </w:rPr>
              <w:t xml:space="preserve"> </w:t>
            </w:r>
            <w:r>
              <w:rPr>
                <w:rStyle w:val="StringTok"/>
              </w:rPr>
              <w:t xml:space="preserve">"Intercept"</w:t>
            </w:r>
            <w:r>
              <w:rPr>
                <w:rStyle w:val="NormalTok"/>
              </w:rPr>
              <w:t xml:space="preserve">, </w:t>
            </w:r>
            <w:r>
              <w:rPr>
                <w:rStyle w:val="AttributeTok"/>
              </w:rPr>
              <w:t xml:space="preserve">dpar =</w:t>
            </w:r>
            <w:r>
              <w:rPr>
                <w:rStyle w:val="NormalTok"/>
              </w:rPr>
              <w:t xml:space="preserve"> </w:t>
            </w:r>
            <w:r>
              <w:rPr>
                <w:rStyle w:val="StringTok"/>
              </w:rPr>
              <w:t xml:space="preserve">"sigma"</w:t>
            </w:r>
            <w:r>
              <w:rPr>
                <w:rStyle w:val="NormalTok"/>
              </w:rPr>
              <w:t xml:space="preserve">),</w:t>
            </w:r>
            <w:r>
              <w:br/>
            </w:r>
            <w:r>
              <w:rPr>
                <w:rStyle w:val="NormalTok"/>
              </w:rPr>
              <w:t xml:space="preserve">  </w:t>
            </w:r>
            <w:r>
              <w:rPr>
                <w:rStyle w:val="CommentTok"/>
              </w:rPr>
              <w:t xml:space="preserve"># Prior for the fixed effects of log(sigma)</w:t>
            </w:r>
            <w:r>
              <w:br/>
            </w:r>
            <w:r>
              <w:rPr>
                <w:rStyle w:val="NormalTok"/>
              </w:rPr>
              <w:t xml:space="preserve">  </w:t>
            </w:r>
            <w:r>
              <w:rPr>
                <w:rStyle w:val="FunctionTok"/>
              </w:rPr>
              <w:t xml:space="preserve">set_prior</w:t>
            </w:r>
            <w:r>
              <w:rPr>
                <w:rStyle w:val="NormalTok"/>
              </w:rPr>
              <w:t xml:space="preserve">(</w:t>
            </w:r>
            <w:r>
              <w:rPr>
                <w:rStyle w:val="StringTok"/>
              </w:rPr>
              <w:t xml:space="preserve">"normal(0, 1)"</w:t>
            </w:r>
            <w:r>
              <w:rPr>
                <w:rStyle w:val="NormalTok"/>
              </w:rPr>
              <w:t xml:space="preserve">, </w:t>
            </w:r>
            <w:r>
              <w:rPr>
                <w:rStyle w:val="AttributeTok"/>
              </w:rPr>
              <w:t xml:space="preserve">class =</w:t>
            </w:r>
            <w:r>
              <w:rPr>
                <w:rStyle w:val="NormalTok"/>
              </w:rPr>
              <w:t xml:space="preserve"> </w:t>
            </w:r>
            <w:r>
              <w:rPr>
                <w:rStyle w:val="StringTok"/>
              </w:rPr>
              <w:t xml:space="preserve">"b"</w:t>
            </w:r>
            <w:r>
              <w:rPr>
                <w:rStyle w:val="NormalTok"/>
              </w:rPr>
              <w:t xml:space="preserve">, </w:t>
            </w:r>
            <w:r>
              <w:rPr>
                <w:rStyle w:val="AttributeTok"/>
              </w:rPr>
              <w:t xml:space="preserve">dpar =</w:t>
            </w:r>
            <w:r>
              <w:rPr>
                <w:rStyle w:val="NormalTok"/>
              </w:rPr>
              <w:t xml:space="preserve"> </w:t>
            </w:r>
            <w:r>
              <w:rPr>
                <w:rStyle w:val="StringTok"/>
              </w:rPr>
              <w:t xml:space="preserve">"sigma"</w:t>
            </w:r>
            <w:r>
              <w:rPr>
                <w:rStyle w:val="NormalTok"/>
              </w:rPr>
              <w:t xml:space="preserve">))</w:t>
            </w:r>
            <w:r>
              <w:br/>
            </w:r>
            <w:r>
              <w:br/>
            </w:r>
            <w:r>
              <w:rPr>
                <w:rStyle w:val="CommentTok"/>
              </w:rPr>
              <w:t xml:space="preserve"># bFit3: our model that also estimates sigma</w:t>
            </w:r>
            <w:r>
              <w:br/>
            </w:r>
            <w:r>
              <w:rPr>
                <w:rStyle w:val="NormalTok"/>
              </w:rPr>
              <w:t xml:space="preserve">bFit3 </w:t>
            </w:r>
            <w:r>
              <w:rPr>
                <w:rStyle w:val="OtherTok"/>
              </w:rPr>
              <w:t xml:space="preserve">=</w:t>
            </w:r>
            <w:r>
              <w:rPr>
                <w:rStyle w:val="NormalTok"/>
              </w:rPr>
              <w:t xml:space="preserve"> </w:t>
            </w:r>
            <w:r>
              <w:rPr>
                <w:rStyle w:val="FunctionTok"/>
              </w:rPr>
              <w:t xml:space="preserve">brm</w:t>
            </w:r>
            <w:r>
              <w:rPr>
                <w:rStyle w:val="NormalTok"/>
              </w:rPr>
              <w:t xml:space="preserve">(</w:t>
            </w:r>
            <w:r>
              <w:br/>
            </w:r>
            <w:r>
              <w:rPr>
                <w:rStyle w:val="NormalTok"/>
              </w:rPr>
              <w:t xml:space="preserve">  </w:t>
            </w:r>
            <w:r>
              <w:rPr>
                <w:rStyle w:val="FunctionTok"/>
              </w:rPr>
              <w:t xml:space="preserve">bf</w:t>
            </w:r>
            <w:r>
              <w:rPr>
                <w:rStyle w:val="NormalTok"/>
              </w:rPr>
              <w:t xml:space="preserve">(resp </w:t>
            </w:r>
            <w:r>
              <w:rPr>
                <w:rStyle w:val="SpecialCharTok"/>
              </w:rPr>
              <w:t xml:space="preserve">~</w:t>
            </w:r>
            <w:r>
              <w:rPr>
                <w:rStyle w:val="NormalTok"/>
              </w:rPr>
              <w:t xml:space="preserve"> cond </w:t>
            </w:r>
            <w:r>
              <w:rPr>
                <w:rStyle w:val="SpecialCharTok"/>
              </w:rPr>
              <w:t xml:space="preserve">+</w:t>
            </w:r>
            <w:r>
              <w:rPr>
                <w:rStyle w:val="NormalTok"/>
              </w:rPr>
              <w:t xml:space="preserve"> </w:t>
            </w:r>
            <w:r>
              <w:rPr>
                <w:rStyle w:val="CommentTok"/>
              </w:rPr>
              <w:t xml:space="preserve"># fixed effects</w:t>
            </w:r>
            <w:r>
              <w:br/>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cond </w:t>
            </w:r>
            <w:r>
              <w:rPr>
                <w:rStyle w:val="SpecialCharTok"/>
              </w:rPr>
              <w:t xml:space="preserve">|</w:t>
            </w:r>
            <w:r>
              <w:rPr>
                <w:rStyle w:val="NormalTok"/>
              </w:rPr>
              <w:t xml:space="preserve"> part)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item), </w:t>
            </w:r>
            <w:r>
              <w:rPr>
                <w:rStyle w:val="CommentTok"/>
              </w:rPr>
              <w:t xml:space="preserve"># random effects</w:t>
            </w:r>
            <w:r>
              <w:br/>
            </w:r>
            <w:r>
              <w:rPr>
                <w:rStyle w:val="NormalTok"/>
              </w:rPr>
              <w:t xml:space="preserve">     sigma </w:t>
            </w:r>
            <w:r>
              <w:rPr>
                <w:rStyle w:val="SpecialCharTok"/>
              </w:rPr>
              <w:t xml:space="preserve">~</w:t>
            </w:r>
            <w:r>
              <w:rPr>
                <w:rStyle w:val="NormalTok"/>
              </w:rPr>
              <w:t xml:space="preserve"> cond), </w:t>
            </w:r>
            <w:r>
              <w:rPr>
                <w:rStyle w:val="CommentTok"/>
              </w:rPr>
              <w:t xml:space="preserve"># sigma</w:t>
            </w:r>
            <w:r>
              <w:br/>
            </w:r>
            <w:r>
              <w:rPr>
                <w:rStyle w:val="NormalTok"/>
              </w:rPr>
              <w:t xml:space="preserve">  </w:t>
            </w:r>
            <w:r>
              <w:rPr>
                <w:rStyle w:val="AttributeTok"/>
              </w:rPr>
              <w:t xml:space="preserve">data =</w:t>
            </w:r>
            <w:r>
              <w:rPr>
                <w:rStyle w:val="NormalTok"/>
              </w:rPr>
              <w:t xml:space="preserve"> d_het,</w:t>
            </w:r>
            <w:r>
              <w:br/>
            </w:r>
            <w:r>
              <w:rPr>
                <w:rStyle w:val="NormalTok"/>
              </w:rPr>
              <w:t xml:space="preserve">  </w:t>
            </w:r>
            <w:r>
              <w:rPr>
                <w:rStyle w:val="AttributeTok"/>
              </w:rPr>
              <w:t xml:space="preserve">family =</w:t>
            </w:r>
            <w:r>
              <w:rPr>
                <w:rStyle w:val="NormalTok"/>
              </w:rPr>
              <w:t xml:space="preserve"> </w:t>
            </w:r>
            <w:r>
              <w:rPr>
                <w:rStyle w:val="FunctionTok"/>
              </w:rPr>
              <w:t xml:space="preserve">gaussian</w:t>
            </w:r>
            <w:r>
              <w:rPr>
                <w:rStyle w:val="NormalTok"/>
              </w:rPr>
              <w:t xml:space="preserve">(),</w:t>
            </w:r>
            <w:r>
              <w:br/>
            </w:r>
            <w:r>
              <w:rPr>
                <w:rStyle w:val="NormalTok"/>
              </w:rPr>
              <w:t xml:space="preserve">  </w:t>
            </w:r>
            <w:r>
              <w:rPr>
                <w:rStyle w:val="AttributeTok"/>
              </w:rPr>
              <w:t xml:space="preserve">cores =</w:t>
            </w:r>
            <w:r>
              <w:rPr>
                <w:rStyle w:val="NormalTok"/>
              </w:rPr>
              <w:t xml:space="preserve"> </w:t>
            </w:r>
            <w:r>
              <w:rPr>
                <w:rStyle w:val="DecValTok"/>
              </w:rPr>
              <w:t xml:space="preserve">4</w:t>
            </w:r>
            <w:r>
              <w:rPr>
                <w:rStyle w:val="NormalTok"/>
              </w:rPr>
              <w:t xml:space="preserve">,</w:t>
            </w:r>
            <w:r>
              <w:br/>
            </w:r>
            <w:r>
              <w:rPr>
                <w:rStyle w:val="NormalTok"/>
              </w:rPr>
              <w:t xml:space="preserve">  </w:t>
            </w:r>
            <w:r>
              <w:rPr>
                <w:rStyle w:val="AttributeTok"/>
              </w:rPr>
              <w:t xml:space="preserve">prior =</w:t>
            </w:r>
            <w:r>
              <w:rPr>
                <w:rStyle w:val="NormalTok"/>
              </w:rPr>
              <w:t xml:space="preserve"> priors2,</w:t>
            </w:r>
            <w:r>
              <w:br/>
            </w:r>
            <w:r>
              <w:rPr>
                <w:rStyle w:val="NormalTok"/>
              </w:rPr>
              <w:t xml:space="preserve">  </w:t>
            </w:r>
            <w:r>
              <w:rPr>
                <w:rStyle w:val="AttributeTok"/>
              </w:rPr>
              <w:t xml:space="preserve">save_model =</w:t>
            </w:r>
            <w:r>
              <w:rPr>
                <w:rStyle w:val="NormalTok"/>
              </w:rPr>
              <w:t xml:space="preserve"> </w:t>
            </w:r>
            <w:r>
              <w:rPr>
                <w:rStyle w:val="StringTok"/>
              </w:rPr>
              <w:t xml:space="preserve">"bFit3.stan"</w:t>
            </w:r>
            <w:r>
              <w:rPr>
                <w:rStyle w:val="NormalTok"/>
              </w:rPr>
              <w:t xml:space="preserve">)</w:t>
            </w:r>
          </w:p>
          <w:bookmarkEnd w:id="74"/>
        </w:tc>
      </w:tr>
    </w:tbl>
    <w:p>
      <w:pPr>
        <w:pStyle w:val="FirstParagraph"/>
      </w:pPr>
      <w:r>
        <w:t xml:space="preserve">The reader can see the simplified output of</w:t>
      </w:r>
      <w:r>
        <w:t xml:space="preserve"> </w:t>
      </w:r>
      <w:r>
        <w:rPr>
          <w:rStyle w:val="VerbatimChar"/>
        </w:rPr>
        <w:t xml:space="preserve">bFit3</w:t>
      </w:r>
      <w:r>
        <w:t xml:space="preserve"> </w:t>
      </w:r>
      <w:r>
        <w:t xml:space="preserve">in</w:t>
      </w:r>
      <w:r>
        <w:t xml:space="preserve"> </w:t>
      </w:r>
      <w:hyperlink w:anchor="lst-bFit3">
        <w:r>
          <w:rPr>
            <w:rStyle w:val="Hyperlink"/>
          </w:rPr>
          <w:t xml:space="preserve">Listing 13</w:t>
        </w:r>
      </w:hyperlink>
      <w:r>
        <w:t xml:space="preserve">. In addition to the estimates for</w:t>
      </w:r>
      <w:r>
        <w:t xml:space="preserve"> </w:t>
      </w:r>
      <w:r>
        <w:rPr>
          <w:rStyle w:val="VerbatimChar"/>
        </w:rPr>
        <w:t xml:space="preserve">cond</w:t>
      </w:r>
      <w:r>
        <w:t xml:space="preserve">, we also obtain estimates for</w:t>
      </w:r>
      <w:r>
        <w:t xml:space="preserve"> </w:t>
      </w:r>
      <m:oMath>
        <m:r>
          <m:t>σ</m:t>
        </m:r>
      </m:oMath>
      <w:r>
        <w:t xml:space="preserve"> </w:t>
      </w:r>
      <w:r>
        <w:t xml:space="preserve">for each level of</w:t>
      </w:r>
      <w:r>
        <w:t xml:space="preserve"> </w:t>
      </w:r>
      <w:r>
        <w:rPr>
          <w:rStyle w:val="VerbatimChar"/>
        </w:rPr>
        <w:t xml:space="preserve">cond</w:t>
      </w:r>
      <w:r>
        <w:t xml:space="preserve">. Recall that we assume a Gaussian distribution for the response variable. This distribution has two parameters:</w:t>
      </w:r>
      <w:r>
        <w:t xml:space="preserve"> </w:t>
      </w:r>
      <m:oMath>
        <m:r>
          <m:t>μ</m:t>
        </m:r>
      </m:oMath>
      <w:r>
        <w:t xml:space="preserve"> </w:t>
      </w:r>
      <w:r>
        <w:t xml:space="preserve">(the mean) and</w:t>
      </w:r>
      <w:r>
        <w:t xml:space="preserve"> </w:t>
      </w:r>
      <m:oMath>
        <m:r>
          <m:t>σ</m:t>
        </m:r>
      </m:oMath>
      <w:r>
        <w:t xml:space="preserve"> </w:t>
      </w:r>
      <w:r>
        <w:t xml:space="preserve">(the standard deviation). In our model, the fixed effects (</w:t>
      </w:r>
      <m:oMath>
        <m:r>
          <m:t>β</m:t>
        </m:r>
      </m:oMath>
      <w:r>
        <w:t xml:space="preserve">) represent</w:t>
      </w:r>
      <w:r>
        <w:t xml:space="preserve"> </w:t>
      </w:r>
      <m:oMath>
        <m:r>
          <m:t>μ</m:t>
        </m:r>
      </m:oMath>
      <w:r>
        <w:t xml:space="preserve">, while</w:t>
      </w:r>
      <w:r>
        <w:t xml:space="preserve"> </w:t>
      </w:r>
      <m:oMath>
        <m:r>
          <m:t>σ</m:t>
        </m:r>
      </m:oMath>
      <w:r>
        <w:t xml:space="preserve"> </w:t>
      </w:r>
      <w:r>
        <w:t xml:space="preserve">is now estimated explicitly for each level of</w:t>
      </w:r>
      <w:r>
        <w:t xml:space="preserve"> </w:t>
      </w:r>
      <w:r>
        <w:rPr>
          <w:rStyle w:val="VerbatimChar"/>
        </w:rPr>
        <w:t xml:space="preserve">cond</w:t>
      </w:r>
      <w:r>
        <w:t xml:space="preserve">. The key distinction here is that both parameters of the Gaussian distribution (</w:t>
      </w:r>
      <m:oMath>
        <m:r>
          <m:t>μ</m:t>
        </m:r>
      </m:oMath>
      <w:r>
        <w:t xml:space="preserve"> </w:t>
      </w:r>
      <w:r>
        <w:t xml:space="preserve">and</w:t>
      </w:r>
      <w:r>
        <w:t xml:space="preserve"> </w:t>
      </w:r>
      <m:oMath>
        <m:r>
          <m:t>σ</m:t>
        </m:r>
      </m:oMath>
      <w:r>
        <w:t xml:space="preserve">) are being estimated by our model. In</w:t>
      </w:r>
      <w:r>
        <w:t xml:space="preserve"> </w:t>
      </w:r>
      <w:r>
        <w:rPr>
          <w:rStyle w:val="VerbatimChar"/>
        </w:rPr>
        <w:t xml:space="preserve">brms</w:t>
      </w:r>
      <w:r>
        <w:t xml:space="preserve">,</w:t>
      </w:r>
      <w:r>
        <w:t xml:space="preserve"> </w:t>
      </w:r>
      <w:r>
        <w:rPr>
          <w:rStyle w:val="VerbatimChar"/>
        </w:rPr>
        <w:t xml:space="preserve">sigma</w:t>
      </w:r>
      <w:r>
        <w:t xml:space="preserve"> </w:t>
      </w:r>
      <w:r>
        <w:t xml:space="preserve">is modeled on the log scale, as reflected in</w:t>
      </w:r>
      <w:r>
        <w:t xml:space="preserve"> </w:t>
      </w:r>
      <w:hyperlink w:anchor="lst-bFit3">
        <w:r>
          <w:rPr>
            <w:rStyle w:val="Hyperlink"/>
          </w:rPr>
          <w:t xml:space="preserve">Listing 13</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75" w:name="lst-bFit3"/>
          <w:p>
            <w:pPr>
              <w:jc w:val="center"/>
            </w:pPr>
            <w:pPr>
              <w:jc w:val="left"/>
              <w:spacing w:before="200"/>
              <w:pStyle w:val="ImageCaption"/>
            </w:pPr>
            <w:r>
              <w:t xml:space="preserve">Listing 13: Simplified output of</w:t>
            </w:r>
            <w:r>
              <w:t xml:space="preserve"> </w:t>
            </w:r>
            <w:r>
              <w:rPr>
                <w:rStyle w:val="VerbatimChar"/>
              </w:rPr>
              <w:t xml:space="preserve">bFit3</w:t>
            </w:r>
          </w:p>
          <w:p>
            <w:pPr>
              <w:pStyle w:val="SourceCode"/>
              <w:jc w:val="center"/>
            </w:pPr>
            <w:r>
              <w:rPr>
                <w:rStyle w:val="FunctionTok"/>
              </w:rPr>
              <w:t xml:space="preserve">summary</w:t>
            </w:r>
            <w:r>
              <w:rPr>
                <w:rStyle w:val="NormalTok"/>
              </w:rPr>
              <w:t xml:space="preserve">(bFit3)</w:t>
            </w:r>
            <w:r>
              <w:rPr>
                <w:rStyle w:val="SpecialCharTok"/>
              </w:rPr>
              <w:t xml:space="preserve">$</w:t>
            </w:r>
            <w:r>
              <w:rPr>
                <w:rStyle w:val="NormalTok"/>
              </w:rPr>
              <w:t xml:space="preserve">fixed </w:t>
            </w:r>
            <w:r>
              <w:rPr>
                <w:rStyle w:val="SpecialCharTok"/>
              </w:rPr>
              <w:t xml:space="preserve">|&gt;</w:t>
            </w:r>
            <w:r>
              <w:rPr>
                <w:rStyle w:val="NormalTok"/>
              </w:rPr>
              <w:t xml:space="preserve"> </w:t>
            </w:r>
            <w:r>
              <w:rPr>
                <w:rStyle w:val="FunctionTok"/>
              </w:rPr>
              <w:t xml:space="preserve">round</w:t>
            </w:r>
            <w:r>
              <w:rPr>
                <w:rStyle w:val="NormalTok"/>
              </w:rPr>
              <w:t xml:space="preserve">(</w:t>
            </w:r>
            <w:r>
              <w:rPr>
                <w:rStyle w:val="DecValTok"/>
              </w:rPr>
              <w:t xml:space="preserve">2</w:t>
            </w:r>
            <w:r>
              <w:rPr>
                <w:rStyle w:val="NormalTok"/>
              </w:rPr>
              <w:t xml:space="preserve">)</w:t>
            </w:r>
            <w:r>
              <w:br/>
            </w:r>
            <w:r>
              <w:rPr>
                <w:rStyle w:val="CommentTok"/>
              </w:rPr>
              <w:t xml:space="preserve">#&gt;                 Estimate Est.Error l-95% CI u-95% CI Rhat Bulk_ESS Tail_ESS</w:t>
            </w:r>
            <w:r>
              <w:br/>
            </w:r>
            <w:r>
              <w:rPr>
                <w:rStyle w:val="CommentTok"/>
              </w:rPr>
              <w:t xml:space="preserve">#&gt; Intercept           6.81      0.03     6.75     6.88    1  1167.26  2067.45</w:t>
            </w:r>
            <w:r>
              <w:br/>
            </w:r>
            <w:r>
              <w:rPr>
                <w:rStyle w:val="CommentTok"/>
              </w:rPr>
              <w:t xml:space="preserve">#&gt; sigma_Intercept    -1.91      0.05    -2.01    -1.80    1  3147.79  2711.18</w:t>
            </w:r>
            <w:r>
              <w:br/>
            </w:r>
            <w:r>
              <w:rPr>
                <w:rStyle w:val="CommentTok"/>
              </w:rPr>
              <w:t xml:space="preserve">#&gt; condc2             -0.06      0.04    -0.12     0.02    1  1856.54  2175.70</w:t>
            </w:r>
            <w:r>
              <w:br/>
            </w:r>
            <w:r>
              <w:rPr>
                <w:rStyle w:val="CommentTok"/>
              </w:rPr>
              <w:t xml:space="preserve">#&gt; condc3              0.05      0.04    -0.02     0.12    1  1469.52  2120.63</w:t>
            </w:r>
            <w:r>
              <w:br/>
            </w:r>
            <w:r>
              <w:rPr>
                <w:rStyle w:val="CommentTok"/>
              </w:rPr>
              <w:t xml:space="preserve">#&gt; condc4              0.04      0.04    -0.04     0.11    1  1646.49  2585.37</w:t>
            </w:r>
            <w:r>
              <w:br/>
            </w:r>
            <w:r>
              <w:rPr>
                <w:rStyle w:val="CommentTok"/>
              </w:rPr>
              <w:t xml:space="preserve">#&gt; condc5             -0.07      0.03    -0.14     0.00    1  1519.37  2158.06</w:t>
            </w:r>
            <w:r>
              <w:br/>
            </w:r>
            <w:r>
              <w:rPr>
                <w:rStyle w:val="CommentTok"/>
              </w:rPr>
              <w:t xml:space="preserve">#&gt; sigma_condc2        0.23      0.07     0.08     0.37    1  3564.34  3361.64</w:t>
            </w:r>
            <w:r>
              <w:br/>
            </w:r>
            <w:r>
              <w:rPr>
                <w:rStyle w:val="CommentTok"/>
              </w:rPr>
              <w:t xml:space="preserve">#&gt; sigma_condc3        0.08      0.08    -0.07     0.23    1  3601.63  2917.28</w:t>
            </w:r>
            <w:r>
              <w:br/>
            </w:r>
            <w:r>
              <w:rPr>
                <w:rStyle w:val="CommentTok"/>
              </w:rPr>
              <w:t xml:space="preserve">#&gt; sigma_condc4       -0.87      0.17    -1.19    -0.53    1   993.14  2073.37</w:t>
            </w:r>
            <w:r>
              <w:br/>
            </w:r>
            <w:r>
              <w:rPr>
                <w:rStyle w:val="CommentTok"/>
              </w:rPr>
              <w:t xml:space="preserve">#&gt; sigma_condc5       -0.09      0.08    -0.24     0.06    1  3725.37  3145.20</w:t>
            </w:r>
          </w:p>
          <w:bookmarkEnd w:id="75"/>
        </w:tc>
      </w:tr>
    </w:tbl>
    <w:p>
      <w:pPr>
        <w:pStyle w:val="FirstParagraph"/>
      </w:pPr>
      <w:r>
        <w:t xml:space="preserve">To appreciate the heteroscedasticity in our data, notice how each</w:t>
      </w:r>
      <w:r>
        <w:t xml:space="preserve"> </w:t>
      </w:r>
      <w:r>
        <w:rPr>
          <w:rStyle w:val="VerbatimChar"/>
        </w:rPr>
        <w:t xml:space="preserve">sigma_condc...</w:t>
      </w:r>
      <w:r>
        <w:t xml:space="preserve"> </w:t>
      </w:r>
      <w:r>
        <w:t xml:space="preserve">deviates from</w:t>
      </w:r>
      <w:r>
        <w:t xml:space="preserve"> </w:t>
      </w:r>
      <w:r>
        <w:rPr>
          <w:rStyle w:val="VerbatimChar"/>
        </w:rPr>
        <w:t xml:space="preserve">sigma_Intercept</w:t>
      </w:r>
      <w:r>
        <w:t xml:space="preserve">. For</w:t>
      </w:r>
      <w:r>
        <w:t xml:space="preserve"> </w:t>
      </w:r>
      <w:r>
        <w:rPr>
          <w:rStyle w:val="VerbatimChar"/>
        </w:rPr>
        <w:t xml:space="preserve">c1</w:t>
      </w:r>
      <w:r>
        <w:t xml:space="preserve"> </w:t>
      </w:r>
      <w:r>
        <w:t xml:space="preserve">(our intercept), the estimated log-standard deviation is</w:t>
      </w:r>
      <w:r>
        <w:t xml:space="preserve"> </w:t>
      </w:r>
      <m:oMath>
        <m:r>
          <m:rPr>
            <m:sty m:val="p"/>
          </m:rPr>
          <m:t>−</m:t>
        </m:r>
        <m:r>
          <m:t>1.91</m:t>
        </m:r>
      </m:oMath>
      <w:r>
        <w:t xml:space="preserve">, which corresponds to</w:t>
      </w:r>
      <w:r>
        <w:t xml:space="preserve"> </w:t>
      </w:r>
      <m:oMath>
        <m:sSub>
          <m:e>
            <m:r>
              <m:t>σ</m:t>
            </m:r>
          </m:e>
          <m:sub>
            <m:r>
              <m:t>1</m:t>
            </m:r>
          </m:sub>
        </m:sSub>
        <m:r>
          <m:rPr>
            <m:sty m:val="p"/>
          </m:rPr>
          <m:t>=</m:t>
        </m:r>
        <m:sSup>
          <m:e>
            <m:r>
              <m:t>e</m:t>
            </m:r>
          </m:e>
          <m:sup>
            <m:r>
              <m:rPr>
                <m:sty m:val="p"/>
              </m:rPr>
              <m:t>−</m:t>
            </m:r>
            <m:r>
              <m:t>1.91</m:t>
            </m:r>
          </m:sup>
        </m:sSup>
        <m:r>
          <m:rPr>
            <m:sty m:val="p"/>
          </m:rPr>
          <m:t>≈</m:t>
        </m:r>
        <m:r>
          <m:t>0.15</m:t>
        </m:r>
      </m:oMath>
      <w:r>
        <w:t xml:space="preserve"> </w:t>
      </w:r>
      <w:r>
        <w:t xml:space="preserve">(cf. </w:t>
      </w:r>
      <m:oMath>
        <m:r>
          <m:t>0.20</m:t>
        </m:r>
      </m:oMath>
      <w:r>
        <w:t xml:space="preserve"> </w:t>
      </w:r>
      <w:r>
        <w:t xml:space="preserve">in</w:t>
      </w:r>
      <w:r>
        <w:t xml:space="preserve"> </w:t>
      </w:r>
      <w:hyperlink w:anchor="lst-dhet">
        <w:r>
          <w:rPr>
            <w:rStyle w:val="Hyperlink"/>
          </w:rPr>
          <w:t xml:space="preserve">Listing 11</w:t>
        </w:r>
      </w:hyperlink>
      <w:r>
        <w:t xml:space="preserve">). For</w:t>
      </w:r>
      <w:r>
        <w:t xml:space="preserve"> </w:t>
      </w:r>
      <w:r>
        <w:rPr>
          <w:rStyle w:val="VerbatimChar"/>
        </w:rPr>
        <w:t xml:space="preserve">c4</w:t>
      </w:r>
      <w:r>
        <w:t xml:space="preserve">, the estimated log-standard deviation includes a more substantial adjustment of</w:t>
      </w:r>
      <w:r>
        <w:t xml:space="preserve"> </w:t>
      </w:r>
      <m:oMath>
        <m:r>
          <m:rPr>
            <m:sty m:val="p"/>
          </m:rPr>
          <m:t>−</m:t>
        </m:r>
        <m:r>
          <m:t>0.87</m:t>
        </m:r>
      </m:oMath>
      <w:r>
        <w:t xml:space="preserve">, making</w:t>
      </w:r>
      <w:r>
        <w:t xml:space="preserve"> </w:t>
      </w:r>
      <m:oMath>
        <m:sSub>
          <m:e>
            <m:r>
              <m:t>σ</m:t>
            </m:r>
          </m:e>
          <m:sub>
            <m:r>
              <m:t>4</m:t>
            </m:r>
          </m:sub>
        </m:sSub>
        <m:r>
          <m:rPr>
            <m:sty m:val="p"/>
          </m:rPr>
          <m:t>=</m:t>
        </m:r>
        <m:sSup>
          <m:e>
            <m:r>
              <m:t>e</m:t>
            </m:r>
          </m:e>
          <m:sup>
            <m:r>
              <m:rPr>
                <m:sty m:val="p"/>
              </m:rPr>
              <m:t>−</m:t>
            </m:r>
            <m:r>
              <m:t>1.91</m:t>
            </m:r>
            <m:r>
              <m:rPr>
                <m:sty m:val="p"/>
              </m:rPr>
              <m:t>−</m:t>
            </m:r>
            <m:r>
              <m:t>0.87</m:t>
            </m:r>
          </m:sup>
        </m:sSup>
        <m:r>
          <m:rPr>
            <m:sty m:val="p"/>
          </m:rPr>
          <m:t>≈</m:t>
        </m:r>
        <m:r>
          <m:t>0.06</m:t>
        </m:r>
      </m:oMath>
      <w:r>
        <w:t xml:space="preserve"> </w:t>
      </w:r>
      <w:r>
        <w:t xml:space="preserve">(cf. </w:t>
      </w:r>
      <m:oMath>
        <m:r>
          <m:t>0.09</m:t>
        </m:r>
      </m:oMath>
      <w:r>
        <w:t xml:space="preserve"> </w:t>
      </w:r>
      <w:r>
        <w:t xml:space="preserve">in</w:t>
      </w:r>
      <w:r>
        <w:t xml:space="preserve"> </w:t>
      </w:r>
      <w:hyperlink w:anchor="lst-dhet">
        <w:r>
          <w:rPr>
            <w:rStyle w:val="Hyperlink"/>
          </w:rPr>
          <w:t xml:space="preserve">Listing 11</w:t>
        </w:r>
      </w:hyperlink>
      <w:r>
        <w:t xml:space="preserve">). We can therefore see that the estimated</w:t>
      </w:r>
      <w:r>
        <w:t xml:space="preserve"> </w:t>
      </w:r>
      <w:r>
        <w:rPr>
          <w:rStyle w:val="VerbatimChar"/>
        </w:rPr>
        <w:t xml:space="preserve">sigma</w:t>
      </w:r>
      <w:r>
        <w:t xml:space="preserve"> </w:t>
      </w:r>
      <w:r>
        <w:t xml:space="preserve">for</w:t>
      </w:r>
      <w:r>
        <w:t xml:space="preserve"> </w:t>
      </w:r>
      <w:r>
        <w:rPr>
          <w:rStyle w:val="VerbatimChar"/>
        </w:rPr>
        <w:t xml:space="preserve">c4</w:t>
      </w:r>
      <w:r>
        <w:t xml:space="preserve"> </w:t>
      </w:r>
      <w:r>
        <w:t xml:space="preserve">deviates considerably from that of the intercept (</w:t>
      </w:r>
      <w:r>
        <w:rPr>
          <w:rStyle w:val="VerbatimChar"/>
        </w:rPr>
        <w:t xml:space="preserve">c1</w:t>
      </w:r>
      <w:r>
        <w:t xml:space="preserve">). This reflects what we already know given</w:t>
      </w:r>
      <w:r>
        <w:t xml:space="preserve"> </w:t>
      </w:r>
      <w:hyperlink w:anchor="lst-dhet">
        <w:r>
          <w:rPr>
            <w:rStyle w:val="Hyperlink"/>
          </w:rPr>
          <w:t xml:space="preserve">Listing 11</w:t>
        </w:r>
      </w:hyperlink>
      <w:r>
        <w:t xml:space="preserve"> </w:t>
      </w:r>
      <w:r>
        <w:t xml:space="preserve">and</w:t>
      </w:r>
      <w:r>
        <w:t xml:space="preserve"> </w:t>
      </w:r>
      <w:hyperlink w:anchor="fig-fighet">
        <w:r>
          <w:rPr>
            <w:rStyle w:val="Hyperlink"/>
          </w:rPr>
          <w:t xml:space="preserve">Figure 6</w:t>
        </w:r>
      </w:hyperlink>
      <w:r>
        <w:t xml:space="preserve">. The reader should print the outputs of both</w:t>
      </w:r>
      <w:r>
        <w:t xml:space="preserve"> </w:t>
      </w:r>
      <w:r>
        <w:rPr>
          <w:rStyle w:val="VerbatimChar"/>
        </w:rPr>
        <w:t xml:space="preserve">bFit2</w:t>
      </w:r>
      <w:r>
        <w:t xml:space="preserve"> </w:t>
      </w:r>
      <w:r>
        <w:t xml:space="preserve">and</w:t>
      </w:r>
      <w:r>
        <w:t xml:space="preserve"> </w:t>
      </w:r>
      <w:r>
        <w:rPr>
          <w:rStyle w:val="VerbatimChar"/>
        </w:rPr>
        <w:t xml:space="preserve">bFit3</w:t>
      </w:r>
      <w:r>
        <w:t xml:space="preserve"> </w:t>
      </w:r>
      <w:r>
        <w:t xml:space="preserve">to verify that the credible intervals of</w:t>
      </w:r>
      <w:r>
        <w:t xml:space="preserve"> </w:t>
      </w:r>
      <w:r>
        <w:rPr>
          <w:rStyle w:val="VerbatimChar"/>
        </w:rPr>
        <w:t xml:space="preserve">c4</w:t>
      </w:r>
      <w:r>
        <w:t xml:space="preserve"> </w:t>
      </w:r>
      <w:r>
        <w:t xml:space="preserve">are indeed estimated to be different in both models. Let us now examine how these differences affect our multiple comparisons. This is the goal of</w:t>
      </w:r>
      <w:r>
        <w:t xml:space="preserve"> </w:t>
      </w:r>
      <w:hyperlink w:anchor="fig-final2">
        <w:r>
          <w:rPr>
            <w:rStyle w:val="Hyperlink"/>
          </w:rPr>
          <w:t xml:space="preserve">Figure 7</w:t>
        </w:r>
      </w:hyperlink>
      <w:r>
        <w:t xml:space="preserve">, where black point ranges represent comparisons drawn from</w:t>
      </w:r>
      <w:r>
        <w:t xml:space="preserve"> </w:t>
      </w:r>
      <w:r>
        <w:rPr>
          <w:rStyle w:val="VerbatimChar"/>
        </w:rPr>
        <w:t xml:space="preserve">bFit3</w:t>
      </w:r>
      <w:r>
        <w:t xml:space="preserve"> </w:t>
      </w:r>
      <w:r>
        <w:t xml:space="preserve">and orange point ranges are drawn from</w:t>
      </w:r>
      <w:r>
        <w:t xml:space="preserve"> </w:t>
      </w:r>
      <w:r>
        <w:rPr>
          <w:rStyle w:val="VerbatimChar"/>
        </w:rPr>
        <w:t xml:space="preserve">bFit2</w:t>
      </w:r>
      <w:r>
        <w:t xml:space="preserve">—mixed effects and posterior distributions are all from</w:t>
      </w:r>
      <w:r>
        <w:t xml:space="preserve"> </w:t>
      </w:r>
      <w:r>
        <w:rPr>
          <w:rStyle w:val="VerbatimChar"/>
        </w:rPr>
        <w:t xml:space="preserve">bFit3</w:t>
      </w:r>
      <w:r>
        <w:t xml:space="preserve">.</w:t>
      </w:r>
    </w:p>
    <w:tbl>
      <w:tblPr>
        <w:tblStyle w:val="Table"/>
        <w:tblW w:type="pct" w:w="5000"/>
        <w:tblLayout w:type="fixed"/>
        <w:tblLook w:firstRow="0" w:lastRow="0" w:firstColumn="0" w:lastColumn="0" w:noHBand="0" w:noVBand="0" w:val="0000"/>
      </w:tblPr>
      <w:tblGrid>
        <w:gridCol w:w="7920"/>
      </w:tblGrid>
      <w:tr>
        <w:tc>
          <w:tcPr/>
          <w:bookmarkStart w:id="79" w:name="fig-final2"/>
          <w:p>
            <w:pPr>
              <w:pStyle w:val="Compact"/>
              <w:jc w:val="center"/>
            </w:pPr>
            <w:r>
              <w:drawing>
                <wp:inline>
                  <wp:extent cx="4160520" cy="6656832"/>
                  <wp:effectExtent b="0" l="0" r="0" t="0"/>
                  <wp:docPr descr="" title="" id="77" name="Picture"/>
                  <a:graphic>
                    <a:graphicData uri="http://schemas.openxmlformats.org/drawingml/2006/picture">
                      <pic:pic>
                        <pic:nvPicPr>
                          <pic:cNvPr descr="multcomp_doc_files/figure-docx/fig-final2-1.png" id="78" name="Picture"/>
                          <pic:cNvPicPr>
                            <a:picLocks noChangeArrowheads="1" noChangeAspect="1"/>
                          </pic:cNvPicPr>
                        </pic:nvPicPr>
                        <pic:blipFill>
                          <a:blip r:embed="rId76"/>
                          <a:stretch>
                            <a:fillRect/>
                          </a:stretch>
                        </pic:blipFill>
                        <pic:spPr bwMode="auto">
                          <a:xfrm>
                            <a:off x="0" y="0"/>
                            <a:ext cx="4160520" cy="6656832"/>
                          </a:xfrm>
                          <a:prstGeom prst="rect">
                            <a:avLst/>
                          </a:prstGeom>
                          <a:noFill/>
                          <a:ln w="9525">
                            <a:noFill/>
                            <a:headEnd/>
                            <a:tailEnd/>
                          </a:ln>
                        </pic:spPr>
                      </pic:pic>
                    </a:graphicData>
                  </a:graphic>
                </wp:inline>
              </w:drawing>
            </w:r>
          </w:p>
          <w:p>
            <w:pPr>
              <w:jc w:val="center"/>
            </w:pPr>
            <w:pPr>
              <w:jc w:val="left"/>
              <w:spacing w:before="200"/>
              <w:pStyle w:val="ImageCaption"/>
            </w:pPr>
            <w:r>
              <w:t xml:space="preserve">Figure 7: Multiple comparisons from a model where</w:t>
            </w:r>
            <w:r>
              <w:t xml:space="preserve"> </w:t>
            </w:r>
            <w:r>
              <w:rPr>
                <w:rStyle w:val="VerbatimChar"/>
              </w:rPr>
              <w:t xml:space="preserve">sigma</w:t>
            </w:r>
            <w:r>
              <w:t xml:space="preserve"> </w:t>
            </w:r>
            <w:r>
              <w:t xml:space="preserve">is also estimated (black). Notice the different HDIs in comparisons involving</w:t>
            </w:r>
            <w:r>
              <w:t xml:space="preserve"> </w:t>
            </w:r>
            <w:r>
              <w:rPr>
                <w:rStyle w:val="VerbatimChar"/>
              </w:rPr>
              <w:t xml:space="preserve">c4</w:t>
            </w:r>
            <w:r>
              <w:t xml:space="preserve"> </w:t>
            </w:r>
            <w:r>
              <w:t xml:space="preserve">relative to a model where</w:t>
            </w:r>
            <w:r>
              <w:t xml:space="preserve"> </w:t>
            </w:r>
            <w:r>
              <w:rPr>
                <w:rStyle w:val="VerbatimChar"/>
              </w:rPr>
              <w:t xml:space="preserve">sigma</w:t>
            </w:r>
            <w:r>
              <w:t xml:space="preserve"> </w:t>
            </w:r>
            <w:r>
              <w:t xml:space="preserve">is not estimated (orange).</w:t>
            </w:r>
          </w:p>
          <w:bookmarkEnd w:id="79"/>
        </w:tc>
      </w:tr>
    </w:tbl>
    <w:p>
      <w:pPr>
        <w:pStyle w:val="BodyText"/>
      </w:pPr>
      <w:r>
        <w:t xml:space="preserve">In</w:t>
      </w:r>
      <w:r>
        <w:t xml:space="preserve"> </w:t>
      </w:r>
      <w:hyperlink w:anchor="fig-final2">
        <w:r>
          <w:rPr>
            <w:rStyle w:val="Hyperlink"/>
          </w:rPr>
          <w:t xml:space="preserve">Figure 7</w:t>
        </w:r>
      </w:hyperlink>
      <w:r>
        <w:t xml:space="preserve">, we notice that comparisons involving</w:t>
      </w:r>
      <w:r>
        <w:t xml:space="preserve"> </w:t>
      </w:r>
      <w:r>
        <w:rPr>
          <w:rStyle w:val="VerbatimChar"/>
        </w:rPr>
        <w:t xml:space="preserve">c4</w:t>
      </w:r>
      <w:r>
        <w:t xml:space="preserve"> </w:t>
      </w:r>
      <w:r>
        <w:t xml:space="preserve">differ in their HDIs across both models. By estimating</w:t>
      </w:r>
      <w:r>
        <w:t xml:space="preserve"> </w:t>
      </w:r>
      <w:r>
        <w:rPr>
          <w:rStyle w:val="VerbatimChar"/>
        </w:rPr>
        <w:t xml:space="preserve">sigma</w:t>
      </w:r>
      <w:r>
        <w:t xml:space="preserve">,</w:t>
      </w:r>
      <w:r>
        <w:t xml:space="preserve"> </w:t>
      </w:r>
      <w:r>
        <w:rPr>
          <w:rStyle w:val="VerbatimChar"/>
        </w:rPr>
        <w:t xml:space="preserve">bFit3</w:t>
      </w:r>
      <w:r>
        <w:t xml:space="preserve"> </w:t>
      </w:r>
      <w:r>
        <w:t xml:space="preserve">generates narrower posteriors for</w:t>
      </w:r>
      <w:r>
        <w:t xml:space="preserve"> </w:t>
      </w:r>
      <w:r>
        <w:rPr>
          <w:rStyle w:val="VerbatimChar"/>
        </w:rPr>
        <w:t xml:space="preserve">c4</w:t>
      </w:r>
      <w:r>
        <w:t xml:space="preserve">, which the reader should verify by plotting the main effects of both models (without comparisons). This, in turn, affects the width of the posterior distributions of our comparisons in</w:t>
      </w:r>
      <w:r>
        <w:t xml:space="preserve"> </w:t>
      </w:r>
      <w:hyperlink w:anchor="fig-final2">
        <w:r>
          <w:rPr>
            <w:rStyle w:val="Hyperlink"/>
          </w:rPr>
          <w:t xml:space="preserve">Figure 7</w:t>
        </w:r>
      </w:hyperlink>
      <w:r>
        <w:t xml:space="preserve">. For instance, in the comparison between</w:t>
      </w:r>
      <w:r>
        <w:t xml:space="preserve"> </w:t>
      </w:r>
      <w:r>
        <w:rPr>
          <w:rStyle w:val="VerbatimChar"/>
        </w:rPr>
        <w:t xml:space="preserve">c4</w:t>
      </w:r>
      <w:r>
        <w:t xml:space="preserve"> </w:t>
      </w:r>
      <w:r>
        <w:t xml:space="preserve">and</w:t>
      </w:r>
      <w:r>
        <w:t xml:space="preserve"> </w:t>
      </w:r>
      <w:r>
        <w:rPr>
          <w:rStyle w:val="VerbatimChar"/>
        </w:rPr>
        <w:t xml:space="preserve">c2</w:t>
      </w:r>
      <w:r>
        <w:t xml:space="preserve">, the mean effect is slightly stronger in</w:t>
      </w:r>
      <w:r>
        <w:t xml:space="preserve"> </w:t>
      </w:r>
      <w:r>
        <w:rPr>
          <w:rStyle w:val="VerbatimChar"/>
        </w:rPr>
        <w:t xml:space="preserve">bFit3</w:t>
      </w:r>
      <w:r>
        <w:t xml:space="preserve">, and its HDI now barely touches the ROPE. Another comparison worth mentioning is</w:t>
      </w:r>
      <w:r>
        <w:t xml:space="preserve"> </w:t>
      </w:r>
      <w:r>
        <w:rPr>
          <w:rStyle w:val="VerbatimChar"/>
        </w:rPr>
        <w:t xml:space="preserve">c4</w:t>
      </w:r>
      <w:r>
        <w:t xml:space="preserve"> </w:t>
      </w:r>
      <w:r>
        <w:t xml:space="preserve">and</w:t>
      </w:r>
      <w:r>
        <w:t xml:space="preserve"> </w:t>
      </w:r>
      <w:r>
        <w:rPr>
          <w:rStyle w:val="VerbatimChar"/>
        </w:rPr>
        <w:t xml:space="preserve">c5</w:t>
      </w:r>
      <w:r>
        <w:t xml:space="preserve">, whose HDI has clearly shifted away from the ROPE. This demonstrates how accounting for heteroscedasticity can affect both parameter estimation and hypothesis testing, emphasizing the importance of accurate variance modeling.</w:t>
      </w:r>
    </w:p>
    <w:bookmarkEnd w:id="80"/>
    <w:bookmarkEnd w:id="81"/>
    <w:bookmarkStart w:id="82" w:name="sec-conclusion"/>
    <w:p>
      <w:pPr>
        <w:pStyle w:val="Heading1"/>
      </w:pPr>
      <w:r>
        <w:t xml:space="preserve">Discussion and conclusion</w:t>
      </w:r>
    </w:p>
    <w:p>
      <w:pPr>
        <w:pStyle w:val="FirstParagraph"/>
      </w:pPr>
      <w:r>
        <w:t xml:space="preserve"> </w:t>
      </w:r>
      <w:r>
        <w:t xml:space="preserve">Let us briefly revisit the main points discussed in this paper. First, we reviewed why hierarchical models are often superior to non-hierarchical models. By shrinking extreme values or estimates from conditions with few observations toward the mean, hierarchical models produce more reliable and generally more conservative estimates, which in turn make derived comparisons more robust. Second, we highlighted the additional advantages of a Bayesian approach. Priors can introduce shrinkage even in non-hierarchical Bayesian models, while Bayesian flexibility allows us to estimate variance directly, addressing issues like heteroscedasticity. Finally, Bayesian models provide posterior distributions for estimates, giving us access to probability distributions of credible parameter values for multiple comparisons.</w:t>
      </w:r>
      <w:r>
        <w:t xml:space="preserve"> </w:t>
      </w:r>
    </w:p>
    <w:p>
      <w:pPr>
        <w:pStyle w:val="BodyText"/>
      </w:pPr>
      <w:r>
        <w:t xml:space="preserve">Two perspectives to data analysis were entertained in this paper: parameter estimation and hypothesis testing. While the former was the primary goal here, the latter is often useful and sometimes necessary, depending on our research question(s). To center our discussion on parameter estimation, we focused on credible intervals (specifically, HDIs), whose interpretation is much more intuitive than that of Frequentist confidence intervals. In the context of hypothesis testing, we considered Bayes Factors and the use of functions such as</w:t>
      </w:r>
      <w:r>
        <w:t xml:space="preserve"> </w:t>
      </w:r>
      <w:r>
        <w:rPr>
          <w:rStyle w:val="VerbatimChar"/>
        </w:rPr>
        <w:t xml:space="preserve">hypothesis()</w:t>
      </w:r>
      <w:r>
        <w:t xml:space="preserve">, as well as the use of ROPEs, which provide an additional layer of information to our figure.</w:t>
      </w:r>
    </w:p>
    <w:p>
      <w:pPr>
        <w:pStyle w:val="BodyText"/>
      </w:pPr>
      <w:r>
        <w:t xml:space="preserve">Not long ago,</w:t>
      </w:r>
      <w:r>
        <w:t xml:space="preserve"> </w:t>
      </w:r>
      <w:r>
        <w:t xml:space="preserve">Plonsky (2013)</w:t>
      </w:r>
      <w:r>
        <w:t xml:space="preserve"> </w:t>
      </w:r>
      <w:r>
        <w:t xml:space="preserve">pointed out that research in second language acquisition relies on a narrow range of statistical methods. Fortunately, it seems that the field is slowly moving towards more comprehensive methods, such as full-fledged regression analysis with random effects</w:t>
      </w:r>
      <w:r>
        <w:t xml:space="preserve"> </w:t>
      </w:r>
      <w:r>
        <w:t xml:space="preserve">(Cabrelli &amp; Pichan, 2021; Cunnings, 2012; Garcia, 2020)</w:t>
      </w:r>
      <w:r>
        <w:t xml:space="preserve">. Consequently, as we reduced the use of ANOVAs and</w:t>
      </w:r>
      <w:r>
        <w:t xml:space="preserve"> </w:t>
      </w:r>
      <w:r>
        <w:rPr>
          <w:i/>
          <w:iCs/>
        </w:rPr>
        <w:t xml:space="preserve">post-hoc</w:t>
      </w:r>
      <w:r>
        <w:t xml:space="preserve"> </w:t>
      </w:r>
      <w:r>
        <w:t xml:space="preserve">tests, multiple comparisons seem to have lost some of their popularity. In this paper, I hope to have shown how we can embrace better models and still make use of multiple comparisons when they make sense given our research questions. After all, sometimes multiple comparisons are exactly what we want in a second language study.</w:t>
      </w:r>
    </w:p>
    <w:p>
      <w:pPr>
        <w:pStyle w:val="BodyText"/>
      </w:pPr>
      <w:r>
        <w:t xml:space="preserve">One key element involved in multiple comparisons</w:t>
      </w:r>
      <w:r>
        <w:t xml:space="preserve"> </w:t>
      </w:r>
      <w:r>
        <w:t xml:space="preserve">when we focus on hypothesis testing</w:t>
      </w:r>
      <w:r>
        <w:t xml:space="preserve"> </w:t>
      </w:r>
      <w:r>
        <w:t xml:space="preserve">is the notion of Type I error, which is based on the assumption that the null hypothesis (</w:t>
      </w:r>
      <m:oMath>
        <m:sSub>
          <m:e>
            <m:r>
              <m:t>H</m:t>
            </m:r>
          </m:e>
          <m:sub>
            <m:r>
              <m:t>0</m:t>
            </m:r>
          </m:sub>
        </m:sSub>
      </m:oMath>
      <w:r>
        <w:t xml:space="preserve">) is true. In our scenario, under</w:t>
      </w:r>
      <w:r>
        <w:t xml:space="preserve"> </w:t>
      </w:r>
      <m:oMath>
        <m:sSub>
          <m:e>
            <m:r>
              <m:t>H</m:t>
            </m:r>
          </m:e>
          <m:sub>
            <m:r>
              <m:t>0</m:t>
            </m:r>
          </m:sub>
        </m:sSub>
      </m:oMath>
      <w:r>
        <w:t xml:space="preserve">, the effects of our conditions would be zero (</w:t>
      </w:r>
      <m:oMath>
        <m:r>
          <m:t>β</m:t>
        </m:r>
        <m:r>
          <m:rPr>
            <m:sty m:val="p"/>
          </m:rPr>
          <m:t>=</m:t>
        </m:r>
        <m:r>
          <m:t>0</m:t>
        </m:r>
      </m:oMath>
      <w:r>
        <w:t xml:space="preserve">). While the notion of Type I error is less problematic in appropriately defined hierarchical models (e.g.,</w:t>
      </w:r>
      <w:r>
        <w:t xml:space="preserve"> </w:t>
      </w:r>
      <w:hyperlink w:anchor="fig-imbalance">
        <w:r>
          <w:rPr>
            <w:rStyle w:val="Hyperlink"/>
          </w:rPr>
          <w:t xml:space="preserve">Figure 2</w:t>
        </w:r>
      </w:hyperlink>
      <w:r>
        <w:t xml:space="preserve">), we should perhaps rethink the utility of the Type I error paradigm to begin with. As pointed out in</w:t>
      </w:r>
      <w:r>
        <w:t xml:space="preserve"> </w:t>
      </w:r>
      <w:r>
        <w:t xml:space="preserve">Gelman et al. (2012)</w:t>
      </w:r>
      <w:r>
        <w:t xml:space="preserve">, our starting point under this paradigm (that the effect is exactly zero) is already suboptimal: we rarely believe that an effect is</w:t>
      </w:r>
      <w:r>
        <w:t xml:space="preserve"> </w:t>
      </w:r>
      <w:r>
        <w:rPr>
          <w:i/>
          <w:iCs/>
        </w:rPr>
        <w:t xml:space="preserve">exactly</w:t>
      </w:r>
      <w:r>
        <w:t xml:space="preserve"> </w:t>
      </w:r>
      <w:r>
        <w:t xml:space="preserve">zero, or that there’s absolutely no differences between groups. Instead, the authors argue that the</w:t>
      </w:r>
      <w:r>
        <w:t xml:space="preserve"> </w:t>
      </w:r>
      <w:r>
        <w:rPr>
          <w:i/>
          <w:iCs/>
        </w:rPr>
        <w:t xml:space="preserve">direction</w:t>
      </w:r>
      <w:r>
        <w:t xml:space="preserve"> </w:t>
      </w:r>
      <w:r>
        <w:t xml:space="preserve">of an effect is a more relevant point to consider: for example, if we assume that</w:t>
      </w:r>
      <w:r>
        <w:t xml:space="preserve"> </w:t>
      </w:r>
      <m:oMath>
        <m:r>
          <m:t>β</m:t>
        </m:r>
        <m:r>
          <m:rPr>
            <m:sty m:val="p"/>
          </m:rPr>
          <m:t>&gt;</m:t>
        </m:r>
        <m:r>
          <m:t>0</m:t>
        </m:r>
      </m:oMath>
      <w:r>
        <w:t xml:space="preserve"> </w:t>
      </w:r>
      <w:r>
        <w:t xml:space="preserve">but, in reality,</w:t>
      </w:r>
      <w:r>
        <w:t xml:space="preserve"> </w:t>
      </w:r>
      <m:oMath>
        <m:r>
          <m:t>β</m:t>
        </m:r>
        <m:r>
          <m:rPr>
            <m:sty m:val="p"/>
          </m:rPr>
          <m:t>&lt;</m:t>
        </m:r>
        <m:r>
          <m:t>0</m:t>
        </m:r>
      </m:oMath>
      <w:r>
        <w:t xml:space="preserve">—this is what</w:t>
      </w:r>
      <w:r>
        <w:t xml:space="preserve"> </w:t>
      </w:r>
      <w:r>
        <w:t xml:space="preserve">Gelman &amp; Tuerlinckx (2000)</w:t>
      </w:r>
      <w:r>
        <w:t xml:space="preserve"> </w:t>
      </w:r>
      <w:r>
        <w:t xml:space="preserve">call</w:t>
      </w:r>
      <w:r>
        <w:t xml:space="preserve"> </w:t>
      </w:r>
      <w:r>
        <w:t xml:space="preserve">“type S errors”</w:t>
      </w:r>
      <w:r>
        <w:t xml:space="preserve"> </w:t>
      </w:r>
      <w:r>
        <w:t xml:space="preserve">(S represents the sign of an effect). In addition to type S errors, the authors propose type M errors, which pertain to the magnitude of an effect: suppose an effect is very strong but we conclude it is close to zero in an experiment. Both type S and type M errors are proposed as replacements for the Type I error paradigm, and both are, according to the proponents,</w:t>
      </w:r>
      <w:r>
        <w:t xml:space="preserve"> </w:t>
      </w:r>
      <w:r>
        <w:t xml:space="preserve">“at least substantially ameliorated”</w:t>
      </w:r>
      <w:r>
        <w:t xml:space="preserve"> </w:t>
      </w:r>
      <w:r>
        <w:t xml:space="preserve">in hierarchical Bayesian models</w:t>
      </w:r>
      <w:r>
        <w:t xml:space="preserve"> </w:t>
      </w:r>
      <w:r>
        <w:t xml:space="preserve">(Gelman et al., 2012, p. 195)</w:t>
      </w:r>
      <w:r>
        <w:t xml:space="preserve">.</w:t>
      </w:r>
    </w:p>
    <w:p>
      <w:pPr>
        <w:pStyle w:val="BodyText"/>
      </w:pPr>
      <w:r>
        <w:t xml:space="preserve">Finally, this paper can be summarized in two recommendations for those wishing to include multiple comparisons in their analyses. First, when running regression models, we should favor hierarchical models</w:t>
      </w:r>
      <w:r>
        <w:t xml:space="preserve"> </w:t>
      </w:r>
      <w:r>
        <w:t xml:space="preserve">(e.g., Barr et al., 2013)</w:t>
      </w:r>
      <w:r>
        <w:t xml:space="preserve"> </w:t>
      </w:r>
      <w:r>
        <w:t xml:space="preserve">whenever appropriate given the data at hand</w:t>
      </w:r>
      <w:r>
        <w:t xml:space="preserve">. This decision alone already addresses several issues discussed at length in the literature of quantitative methods</w:t>
      </w:r>
      <w:r>
        <w:t xml:space="preserve"> </w:t>
      </w:r>
      <w:r>
        <w:t xml:space="preserve">(Garcia, 2021; Gelman &amp; Hill, 2006; Sonderegger, 2023; Winter, 2019)</w:t>
      </w:r>
      <w:r>
        <w:t xml:space="preserve">, including the typical criticisms raised in the context of multiple comparisons and Type I errors</w:t>
      </w:r>
      <w:r>
        <w:t xml:space="preserve"> </w:t>
      </w:r>
      <w:r>
        <w:t xml:space="preserve">(Gelman et al., 2012; Gelman &amp; Tuerlinckx, 2000)</w:t>
      </w:r>
      <w:r>
        <w:t xml:space="preserve">. Second, researchers should explore multiple comparisons whenever such comparisons make sense given the research question under examination. With the appropriate model, this can be accomplished without the typical corrections employed in the literature. Importantly, researchers should not fear that a Bayesian approach may be less conservative than a typical Frequentist approach: as pointed out in</w:t>
      </w:r>
      <w:r>
        <w:t xml:space="preserve"> </w:t>
      </w:r>
      <w:r>
        <w:t xml:space="preserve">Gelman (2021)</w:t>
      </w:r>
      <w:r>
        <w:t xml:space="preserve">,</w:t>
      </w:r>
      <w:r>
        <w:t xml:space="preserve"> </w:t>
      </w:r>
      <w:r>
        <w:t xml:space="preserve">“[…] with normal data and a normal prior centered at 0, the Bayesian interval is always more likely to include zero, compared to the classical interval; hence we can say that Bayesian inference is more conservative, in being less likely to result in claims with confidence”</w:t>
      </w:r>
      <w:r>
        <w:t xml:space="preserve">.</w:t>
      </w:r>
    </w:p>
    <w:p>
      <w:pPr>
        <w:pStyle w:val="BodyText"/>
      </w:pPr>
      <w:r>
        <w:t xml:space="preserve">As the models discussed in this paper become more popular in the field of second language acquisition, researchers have a lot to gain in terms of flexibility in their statistical methods—the approach presented above can be easily adapted to any Bayesian model (e.g., logistic, ordinal, and Poisson regressions). Crucially, these models provide comprehensive results that are not only more reliable, but which can also directly inform future studies through the use of priors—just as they can be informed by past research in the field.</w:t>
      </w:r>
    </w:p>
    <w:bookmarkEnd w:id="82"/>
    <w:bookmarkStart w:id="146" w:name="references"/>
    <w:p>
      <w:pPr>
        <w:pStyle w:val="Heading1"/>
      </w:pPr>
      <w:r>
        <w:t xml:space="preserve">References</w:t>
      </w:r>
    </w:p>
    <w:bookmarkStart w:id="145" w:name="refs"/>
    <w:bookmarkStart w:id="84" w:name="ref-languageR"/>
    <w:p>
      <w:pPr>
        <w:pStyle w:val="Bibliography"/>
      </w:pPr>
      <w:r>
        <w:t xml:space="preserve">Baayen, R. H. (2009).</w:t>
      </w:r>
      <w:r>
        <w:t xml:space="preserve"> </w:t>
      </w:r>
      <w:r>
        <w:rPr>
          <w:i/>
          <w:iCs/>
        </w:rPr>
        <w:t xml:space="preserve">Language</w:t>
      </w:r>
      <w:r>
        <w:rPr>
          <w:i/>
          <w:iCs/>
        </w:rPr>
        <w:t xml:space="preserve">R</w:t>
      </w:r>
      <w:r>
        <w:rPr>
          <w:i/>
          <w:iCs/>
        </w:rPr>
        <w:t xml:space="preserve">: Data sets and functions with "analyzing linguistic data: A practical introduction to statistics"</w:t>
      </w:r>
      <w:r>
        <w:t xml:space="preserve">.</w:t>
      </w:r>
      <w:r>
        <w:t xml:space="preserve"> </w:t>
      </w:r>
      <w:hyperlink r:id="rId83">
        <w:r>
          <w:rPr>
            <w:rStyle w:val="Hyperlink"/>
          </w:rPr>
          <w:t xml:space="preserve">http://CRAN.R-project.org/package=languageR</w:t>
        </w:r>
      </w:hyperlink>
    </w:p>
    <w:bookmarkEnd w:id="84"/>
    <w:bookmarkStart w:id="85" w:name="ref-winther2008morphological"/>
    <w:p>
      <w:pPr>
        <w:pStyle w:val="Bibliography"/>
      </w:pPr>
      <w:r>
        <w:t xml:space="preserve">Balling, L. W., &amp; Baayen, H. R. (2008). Morphological effects in auditory word recognition: Evidence from</w:t>
      </w:r>
      <w:r>
        <w:t xml:space="preserve"> </w:t>
      </w:r>
      <w:r>
        <w:t xml:space="preserve">D</w:t>
      </w:r>
      <w:r>
        <w:t xml:space="preserve">anish.</w:t>
      </w:r>
      <w:r>
        <w:t xml:space="preserve"> </w:t>
      </w:r>
      <w:r>
        <w:rPr>
          <w:i/>
          <w:iCs/>
        </w:rPr>
        <w:t xml:space="preserve">Language and Cognitive Processes</w:t>
      </w:r>
      <w:r>
        <w:t xml:space="preserve">,</w:t>
      </w:r>
      <w:r>
        <w:t xml:space="preserve"> </w:t>
      </w:r>
      <w:r>
        <w:rPr>
          <w:i/>
          <w:iCs/>
        </w:rPr>
        <w:t xml:space="preserve">23</w:t>
      </w:r>
      <w:r>
        <w:t xml:space="preserve">(7-8), 1159–1190.</w:t>
      </w:r>
    </w:p>
    <w:bookmarkEnd w:id="85"/>
    <w:bookmarkStart w:id="86" w:name="ref-Barretal2013"/>
    <w:p>
      <w:pPr>
        <w:pStyle w:val="Bibliography"/>
      </w:pPr>
      <w:r>
        <w:t xml:space="preserve">Barr, D., Levy, R., Scheepers, C., &amp; Tily, H. (2013). Random effects structure for confirmatory hypothesis testing:</w:t>
      </w:r>
      <w:r>
        <w:t xml:space="preserve"> </w:t>
      </w:r>
      <w:r>
        <w:t xml:space="preserve">K</w:t>
      </w:r>
      <w:r>
        <w:t xml:space="preserve">eep it maximal.</w:t>
      </w:r>
      <w:r>
        <w:t xml:space="preserve"> </w:t>
      </w:r>
      <w:r>
        <w:rPr>
          <w:i/>
          <w:iCs/>
        </w:rPr>
        <w:t xml:space="preserve">Journal of</w:t>
      </w:r>
      <w:r>
        <w:rPr>
          <w:i/>
          <w:iCs/>
        </w:rPr>
        <w:t xml:space="preserve"> </w:t>
      </w:r>
      <w:r>
        <w:rPr>
          <w:i/>
          <w:iCs/>
        </w:rPr>
        <w:t xml:space="preserve">M</w:t>
      </w:r>
      <w:r>
        <w:rPr>
          <w:i/>
          <w:iCs/>
        </w:rPr>
        <w:t xml:space="preserve">emory and</w:t>
      </w:r>
      <w:r>
        <w:rPr>
          <w:i/>
          <w:iCs/>
        </w:rPr>
        <w:t xml:space="preserve"> </w:t>
      </w:r>
      <w:r>
        <w:rPr>
          <w:i/>
          <w:iCs/>
        </w:rPr>
        <w:t xml:space="preserve">L</w:t>
      </w:r>
      <w:r>
        <w:rPr>
          <w:i/>
          <w:iCs/>
        </w:rPr>
        <w:t xml:space="preserve">anguage</w:t>
      </w:r>
      <w:r>
        <w:t xml:space="preserve">,</w:t>
      </w:r>
      <w:r>
        <w:t xml:space="preserve"> </w:t>
      </w:r>
      <w:r>
        <w:rPr>
          <w:i/>
          <w:iCs/>
        </w:rPr>
        <w:t xml:space="preserve">68</w:t>
      </w:r>
      <w:r>
        <w:t xml:space="preserve">(3), 255–278.</w:t>
      </w:r>
    </w:p>
    <w:bookmarkEnd w:id="86"/>
    <w:bookmarkStart w:id="88" w:name="ref-lme4"/>
    <w:p>
      <w:pPr>
        <w:pStyle w:val="Bibliography"/>
      </w:pPr>
      <w:r>
        <w:t xml:space="preserve">Bates, D., Mächler, M., Bolker, B., &amp; Walker, S. (2015). Fitting linear mixed-effects models using</w:t>
      </w:r>
      <w:r>
        <w:t xml:space="preserve"> </w:t>
      </w:r>
      <w:r>
        <w:rPr>
          <w:rStyle w:val="VerbatimChar"/>
        </w:rPr>
        <w:t xml:space="preserve">lme4</w:t>
      </w:r>
      <w:r>
        <w:t xml:space="preserve">.</w:t>
      </w:r>
      <w:r>
        <w:t xml:space="preserve"> </w:t>
      </w:r>
      <w:r>
        <w:rPr>
          <w:i/>
          <w:iCs/>
        </w:rPr>
        <w:t xml:space="preserve">Journal of Statistical Software</w:t>
      </w:r>
      <w:r>
        <w:t xml:space="preserve">,</w:t>
      </w:r>
      <w:r>
        <w:t xml:space="preserve"> </w:t>
      </w:r>
      <w:r>
        <w:rPr>
          <w:i/>
          <w:iCs/>
        </w:rPr>
        <w:t xml:space="preserve">67</w:t>
      </w:r>
      <w:r>
        <w:t xml:space="preserve">(1), 1–48.</w:t>
      </w:r>
      <w:r>
        <w:t xml:space="preserve"> </w:t>
      </w:r>
      <w:hyperlink r:id="rId87">
        <w:r>
          <w:rPr>
            <w:rStyle w:val="Hyperlink"/>
          </w:rPr>
          <w:t xml:space="preserve">https://doi.org/10.18637/jss.v067.i01</w:t>
        </w:r>
      </w:hyperlink>
    </w:p>
    <w:bookmarkEnd w:id="88"/>
    <w:bookmarkStart w:id="89" w:name="ref-bayes1763"/>
    <w:p>
      <w:pPr>
        <w:pStyle w:val="Bibliography"/>
      </w:pPr>
      <w:r>
        <w:t xml:space="preserve">Bayes, T. (1763).</w:t>
      </w:r>
      <w:r>
        <w:t xml:space="preserve"> </w:t>
      </w:r>
      <w:r>
        <w:t xml:space="preserve">LII</w:t>
      </w:r>
      <w:r>
        <w:t xml:space="preserve">.</w:t>
      </w:r>
      <w:r>
        <w:t xml:space="preserve"> </w:t>
      </w:r>
      <w:r>
        <w:t xml:space="preserve">A</w:t>
      </w:r>
      <w:r>
        <w:t xml:space="preserve">n essay towards solving a problem in the doctrine of chances.</w:t>
      </w:r>
      <w:r>
        <w:t xml:space="preserve"> </w:t>
      </w:r>
      <w:r>
        <w:t xml:space="preserve">B</w:t>
      </w:r>
      <w:r>
        <w:t xml:space="preserve">y the late</w:t>
      </w:r>
      <w:r>
        <w:t xml:space="preserve"> </w:t>
      </w:r>
      <w:r>
        <w:t xml:space="preserve">R</w:t>
      </w:r>
      <w:r>
        <w:t xml:space="preserve">ev.</w:t>
      </w:r>
      <w:r>
        <w:t xml:space="preserve"> </w:t>
      </w:r>
      <w:r>
        <w:t xml:space="preserve">M</w:t>
      </w:r>
      <w:r>
        <w:t xml:space="preserve">r.</w:t>
      </w:r>
      <w:r>
        <w:t xml:space="preserve"> </w:t>
      </w:r>
      <w:r>
        <w:t xml:space="preserve">B</w:t>
      </w:r>
      <w:r>
        <w:t xml:space="preserve">ayes,</w:t>
      </w:r>
      <w:r>
        <w:t xml:space="preserve"> </w:t>
      </w:r>
      <w:r>
        <w:t xml:space="preserve">FRS</w:t>
      </w:r>
      <w:r>
        <w:t xml:space="preserve"> </w:t>
      </w:r>
      <w:r>
        <w:t xml:space="preserve">communicated by</w:t>
      </w:r>
      <w:r>
        <w:t xml:space="preserve"> </w:t>
      </w:r>
      <w:r>
        <w:t xml:space="preserve">M</w:t>
      </w:r>
      <w:r>
        <w:t xml:space="preserve">r.</w:t>
      </w:r>
      <w:r>
        <w:t xml:space="preserve"> </w:t>
      </w:r>
      <w:r>
        <w:t xml:space="preserve">P</w:t>
      </w:r>
      <w:r>
        <w:t xml:space="preserve">rice, in a letter to</w:t>
      </w:r>
      <w:r>
        <w:t xml:space="preserve"> </w:t>
      </w:r>
      <w:r>
        <w:t xml:space="preserve">J</w:t>
      </w:r>
      <w:r>
        <w:t xml:space="preserve">ohn</w:t>
      </w:r>
      <w:r>
        <w:t xml:space="preserve"> </w:t>
      </w:r>
      <w:r>
        <w:t xml:space="preserve">C</w:t>
      </w:r>
      <w:r>
        <w:t xml:space="preserve">anton,</w:t>
      </w:r>
      <w:r>
        <w:t xml:space="preserve"> </w:t>
      </w:r>
      <w:r>
        <w:t xml:space="preserve">AMFR S</w:t>
      </w:r>
      <w:r>
        <w:t xml:space="preserve">.</w:t>
      </w:r>
      <w:r>
        <w:t xml:space="preserve"> </w:t>
      </w:r>
      <w:r>
        <w:rPr>
          <w:i/>
          <w:iCs/>
        </w:rPr>
        <w:t xml:space="preserve">Philosophical Transactions of the Royal Society of London</w:t>
      </w:r>
      <w:r>
        <w:t xml:space="preserve">,</w:t>
      </w:r>
      <w:r>
        <w:t xml:space="preserve"> </w:t>
      </w:r>
      <w:r>
        <w:rPr>
          <w:i/>
          <w:iCs/>
        </w:rPr>
        <w:t xml:space="preserve">53</w:t>
      </w:r>
      <w:r>
        <w:t xml:space="preserve">, 370–418.</w:t>
      </w:r>
    </w:p>
    <w:bookmarkEnd w:id="89"/>
    <w:bookmarkStart w:id="91" w:name="ref-birdsong2018"/>
    <w:p>
      <w:pPr>
        <w:pStyle w:val="Bibliography"/>
      </w:pPr>
      <w:r>
        <w:t xml:space="preserve">Birdsong, D. (2018). Plasticity, variability and age in second language acquisition and bilingualism.</w:t>
      </w:r>
      <w:r>
        <w:t xml:space="preserve"> </w:t>
      </w:r>
      <w:r>
        <w:rPr>
          <w:i/>
          <w:iCs/>
        </w:rPr>
        <w:t xml:space="preserve">Frontiers in Psychology</w:t>
      </w:r>
      <w:r>
        <w:t xml:space="preserve">,</w:t>
      </w:r>
      <w:r>
        <w:t xml:space="preserve"> </w:t>
      </w:r>
      <w:r>
        <w:rPr>
          <w:i/>
          <w:iCs/>
        </w:rPr>
        <w:t xml:space="preserve">9</w:t>
      </w:r>
      <w:r>
        <w:t xml:space="preserve">.</w:t>
      </w:r>
      <w:r>
        <w:t xml:space="preserve"> </w:t>
      </w:r>
      <w:hyperlink r:id="rId90">
        <w:r>
          <w:rPr>
            <w:rStyle w:val="Hyperlink"/>
          </w:rPr>
          <w:t xml:space="preserve">https://doi.org/10.3389/fpsyg.2018.00081</w:t>
        </w:r>
      </w:hyperlink>
    </w:p>
    <w:bookmarkEnd w:id="91"/>
    <w:bookmarkStart w:id="92" w:name="ref-brand2019cumulative"/>
    <w:p>
      <w:pPr>
        <w:pStyle w:val="Bibliography"/>
      </w:pPr>
      <w:r>
        <w:t xml:space="preserve">Brand, C. O., Ounsley, J. P., Post, D. J. van der, &amp; Morgan, T. J. H. (2019). Cumulative science via</w:t>
      </w:r>
      <w:r>
        <w:t xml:space="preserve"> </w:t>
      </w:r>
      <w:r>
        <w:t xml:space="preserve">B</w:t>
      </w:r>
      <w:r>
        <w:t xml:space="preserve">ayesian posterior passing: An introduction.</w:t>
      </w:r>
      <w:r>
        <w:t xml:space="preserve"> </w:t>
      </w:r>
      <w:r>
        <w:rPr>
          <w:i/>
          <w:iCs/>
        </w:rPr>
        <w:t xml:space="preserve">Meta-Psychology</w:t>
      </w:r>
      <w:r>
        <w:t xml:space="preserve">,</w:t>
      </w:r>
      <w:r>
        <w:t xml:space="preserve"> </w:t>
      </w:r>
      <w:r>
        <w:rPr>
          <w:i/>
          <w:iCs/>
        </w:rPr>
        <w:t xml:space="preserve">3</w:t>
      </w:r>
      <w:r>
        <w:t xml:space="preserve">.</w:t>
      </w:r>
    </w:p>
    <w:bookmarkEnd w:id="92"/>
    <w:bookmarkStart w:id="93" w:name="ref-brooks2011handbook"/>
    <w:p>
      <w:pPr>
        <w:pStyle w:val="Bibliography"/>
      </w:pPr>
      <w:r>
        <w:t xml:space="preserve">Brooks, S., Gelman, A., Jones, G. L., &amp; Meng, X.-L. (2011).</w:t>
      </w:r>
      <w:r>
        <w:t xml:space="preserve"> </w:t>
      </w:r>
      <w:r>
        <w:rPr>
          <w:i/>
          <w:iCs/>
        </w:rPr>
        <w:t xml:space="preserve">Handbook of</w:t>
      </w:r>
      <w:r>
        <w:rPr>
          <w:i/>
          <w:iCs/>
        </w:rPr>
        <w:t xml:space="preserve"> </w:t>
      </w:r>
      <w:r>
        <w:rPr>
          <w:i/>
          <w:iCs/>
        </w:rPr>
        <w:t xml:space="preserve">M</w:t>
      </w:r>
      <w:r>
        <w:rPr>
          <w:i/>
          <w:iCs/>
        </w:rPr>
        <w:t xml:space="preserve">arkov</w:t>
      </w:r>
      <w:r>
        <w:rPr>
          <w:i/>
          <w:iCs/>
        </w:rPr>
        <w:t xml:space="preserve"> </w:t>
      </w:r>
      <w:r>
        <w:rPr>
          <w:i/>
          <w:iCs/>
        </w:rPr>
        <w:t xml:space="preserve">C</w:t>
      </w:r>
      <w:r>
        <w:rPr>
          <w:i/>
          <w:iCs/>
        </w:rPr>
        <w:t xml:space="preserve">hain</w:t>
      </w:r>
      <w:r>
        <w:rPr>
          <w:i/>
          <w:iCs/>
        </w:rPr>
        <w:t xml:space="preserve"> </w:t>
      </w:r>
      <w:r>
        <w:rPr>
          <w:i/>
          <w:iCs/>
        </w:rPr>
        <w:t xml:space="preserve">M</w:t>
      </w:r>
      <w:r>
        <w:rPr>
          <w:i/>
          <w:iCs/>
        </w:rPr>
        <w:t xml:space="preserve">onte</w:t>
      </w:r>
      <w:r>
        <w:rPr>
          <w:i/>
          <w:iCs/>
        </w:rPr>
        <w:t xml:space="preserve"> </w:t>
      </w:r>
      <w:r>
        <w:rPr>
          <w:i/>
          <w:iCs/>
        </w:rPr>
        <w:t xml:space="preserve">C</w:t>
      </w:r>
      <w:r>
        <w:rPr>
          <w:i/>
          <w:iCs/>
        </w:rPr>
        <w:t xml:space="preserve">arlo</w:t>
      </w:r>
      <w:r>
        <w:t xml:space="preserve">. Chapman; Hall/CRC.</w:t>
      </w:r>
    </w:p>
    <w:bookmarkEnd w:id="93"/>
    <w:bookmarkStart w:id="95" w:name="ref-brms"/>
    <w:p>
      <w:pPr>
        <w:pStyle w:val="Bibliography"/>
      </w:pPr>
      <w:r>
        <w:t xml:space="preserve">Bürkner, P.-C. (2016).</w:t>
      </w:r>
      <w:r>
        <w:t xml:space="preserve"> </w:t>
      </w:r>
      <w:r>
        <w:rPr>
          <w:rStyle w:val="VerbatimChar"/>
          <w:i/>
          <w:iCs/>
        </w:rPr>
        <w:t xml:space="preserve">‘brms’</w:t>
      </w:r>
      <w:r>
        <w:rPr>
          <w:i/>
          <w:iCs/>
        </w:rPr>
        <w:t xml:space="preserve">: Bayesian</w:t>
      </w:r>
      <w:r>
        <w:rPr>
          <w:i/>
          <w:iCs/>
        </w:rPr>
        <w:t xml:space="preserve"> </w:t>
      </w:r>
      <w:r>
        <w:rPr>
          <w:i/>
          <w:iCs/>
        </w:rPr>
        <w:t xml:space="preserve">r</w:t>
      </w:r>
      <w:r>
        <w:rPr>
          <w:i/>
          <w:iCs/>
        </w:rPr>
        <w:t xml:space="preserve">egression</w:t>
      </w:r>
      <w:r>
        <w:rPr>
          <w:i/>
          <w:iCs/>
        </w:rPr>
        <w:t xml:space="preserve"> </w:t>
      </w:r>
      <w:r>
        <w:rPr>
          <w:i/>
          <w:iCs/>
        </w:rPr>
        <w:t xml:space="preserve">m</w:t>
      </w:r>
      <w:r>
        <w:rPr>
          <w:i/>
          <w:iCs/>
        </w:rPr>
        <w:t xml:space="preserve">odels using</w:t>
      </w:r>
      <w:r>
        <w:rPr>
          <w:i/>
          <w:iCs/>
        </w:rPr>
        <w:t xml:space="preserve"> </w:t>
      </w:r>
      <w:r>
        <w:rPr>
          <w:i/>
          <w:iCs/>
        </w:rPr>
        <w:t xml:space="preserve">S</w:t>
      </w:r>
      <w:r>
        <w:rPr>
          <w:i/>
          <w:iCs/>
        </w:rPr>
        <w:t xml:space="preserve">tan.</w:t>
      </w:r>
      <w:r>
        <w:rPr>
          <w:i/>
          <w:iCs/>
        </w:rPr>
        <w:t xml:space="preserve"> </w:t>
      </w:r>
      <w:r>
        <w:rPr>
          <w:i/>
          <w:iCs/>
        </w:rPr>
        <w:t xml:space="preserve">R</w:t>
      </w:r>
      <w:r>
        <w:rPr>
          <w:i/>
          <w:iCs/>
        </w:rPr>
        <w:t xml:space="preserve"> </w:t>
      </w:r>
      <w:r>
        <w:rPr>
          <w:i/>
          <w:iCs/>
        </w:rPr>
        <w:t xml:space="preserve">package version 1.5.0</w:t>
      </w:r>
      <w:r>
        <w:t xml:space="preserve">.</w:t>
      </w:r>
      <w:r>
        <w:t xml:space="preserve"> </w:t>
      </w:r>
      <w:hyperlink r:id="rId94">
        <w:r>
          <w:rPr>
            <w:rStyle w:val="Hyperlink"/>
          </w:rPr>
          <w:t xml:space="preserve">https://cran.r-project.org/web/packages/brms/index.html</w:t>
        </w:r>
      </w:hyperlink>
    </w:p>
    <w:bookmarkEnd w:id="95"/>
    <w:bookmarkStart w:id="97" w:name="ref-brms2017"/>
    <w:p>
      <w:pPr>
        <w:pStyle w:val="Bibliography"/>
      </w:pPr>
      <w:r>
        <w:t xml:space="preserve">Bürkner, P.-C. (2017).</w:t>
      </w:r>
      <w:r>
        <w:t xml:space="preserve"> </w:t>
      </w:r>
      <w:r>
        <w:rPr>
          <w:rStyle w:val="VerbatimChar"/>
        </w:rPr>
        <w:t xml:space="preserve">brms</w:t>
      </w:r>
      <w:r>
        <w:t xml:space="preserve">: An</w:t>
      </w:r>
      <w:r>
        <w:t xml:space="preserve"> </w:t>
      </w:r>
      <w:r>
        <w:t xml:space="preserve">R</w:t>
      </w:r>
      <w:r>
        <w:t xml:space="preserve"> </w:t>
      </w:r>
      <w:r>
        <w:t xml:space="preserve">package for</w:t>
      </w:r>
      <w:r>
        <w:t xml:space="preserve"> </w:t>
      </w:r>
      <w:r>
        <w:t xml:space="preserve">B</w:t>
      </w:r>
      <w:r>
        <w:t xml:space="preserve">ayesian multilevel models using</w:t>
      </w:r>
      <w:r>
        <w:t xml:space="preserve"> </w:t>
      </w:r>
      <w:r>
        <w:t xml:space="preserve">S</w:t>
      </w:r>
      <w:r>
        <w:t xml:space="preserve">tan.</w:t>
      </w:r>
      <w:r>
        <w:t xml:space="preserve"> </w:t>
      </w:r>
      <w:r>
        <w:rPr>
          <w:i/>
          <w:iCs/>
        </w:rPr>
        <w:t xml:space="preserve">Journal of Statistical Software</w:t>
      </w:r>
      <w:r>
        <w:t xml:space="preserve">,</w:t>
      </w:r>
      <w:r>
        <w:t xml:space="preserve"> </w:t>
      </w:r>
      <w:r>
        <w:rPr>
          <w:i/>
          <w:iCs/>
        </w:rPr>
        <w:t xml:space="preserve">80</w:t>
      </w:r>
      <w:r>
        <w:t xml:space="preserve">(1), 1–28.</w:t>
      </w:r>
      <w:r>
        <w:t xml:space="preserve"> </w:t>
      </w:r>
      <w:hyperlink r:id="rId96">
        <w:r>
          <w:rPr>
            <w:rStyle w:val="Hyperlink"/>
          </w:rPr>
          <w:t xml:space="preserve">https://doi.org/10.18637/jss.v080.i01</w:t>
        </w:r>
      </w:hyperlink>
    </w:p>
    <w:bookmarkEnd w:id="97"/>
    <w:bookmarkStart w:id="99" w:name="ref-cabrelli2021initial"/>
    <w:p>
      <w:pPr>
        <w:pStyle w:val="Bibliography"/>
      </w:pPr>
      <w:r>
        <w:t xml:space="preserve">Cabrelli, J., &amp; Pichan, C. (2021). Initial phonological transfer in</w:t>
      </w:r>
      <w:r>
        <w:t xml:space="preserve"> </w:t>
      </w:r>
      <w:r>
        <w:t xml:space="preserve">L</w:t>
      </w:r>
      <w:r>
        <w:t xml:space="preserve">3</w:t>
      </w:r>
      <w:r>
        <w:t xml:space="preserve"> </w:t>
      </w:r>
      <w:r>
        <w:t xml:space="preserve">B</w:t>
      </w:r>
      <w:r>
        <w:t xml:space="preserve">razilian</w:t>
      </w:r>
      <w:r>
        <w:t xml:space="preserve"> </w:t>
      </w:r>
      <w:r>
        <w:t xml:space="preserve">P</w:t>
      </w:r>
      <w:r>
        <w:t xml:space="preserve">ortuguese and</w:t>
      </w:r>
      <w:r>
        <w:t xml:space="preserve"> </w:t>
      </w:r>
      <w:r>
        <w:t xml:space="preserve">I</w:t>
      </w:r>
      <w:r>
        <w:t xml:space="preserve">talian.</w:t>
      </w:r>
      <w:r>
        <w:t xml:space="preserve"> </w:t>
      </w:r>
      <w:r>
        <w:rPr>
          <w:i/>
          <w:iCs/>
        </w:rPr>
        <w:t xml:space="preserve">Linguistic Approaches to Bilingualism</w:t>
      </w:r>
      <w:r>
        <w:t xml:space="preserve">,</w:t>
      </w:r>
      <w:r>
        <w:t xml:space="preserve"> </w:t>
      </w:r>
      <w:r>
        <w:rPr>
          <w:i/>
          <w:iCs/>
        </w:rPr>
        <w:t xml:space="preserve">11</w:t>
      </w:r>
      <w:r>
        <w:t xml:space="preserve">(2), 131–167.</w:t>
      </w:r>
      <w:r>
        <w:t xml:space="preserve"> </w:t>
      </w:r>
      <w:hyperlink r:id="rId98">
        <w:r>
          <w:rPr>
            <w:rStyle w:val="Hyperlink"/>
          </w:rPr>
          <w:t xml:space="preserve">https://doi.org/10.1075/lab.18048.cab</w:t>
        </w:r>
      </w:hyperlink>
    </w:p>
    <w:bookmarkEnd w:id="99"/>
    <w:bookmarkStart w:id="100" w:name="ref-cabrelli2012third"/>
    <w:p>
      <w:pPr>
        <w:pStyle w:val="Bibliography"/>
      </w:pPr>
      <w:r>
        <w:t xml:space="preserve">Cabrelli-Amaro, J., Flynn, S., &amp; Rothman, J. (2012).</w:t>
      </w:r>
      <w:r>
        <w:t xml:space="preserve"> </w:t>
      </w:r>
      <w:r>
        <w:rPr>
          <w:i/>
          <w:iCs/>
        </w:rPr>
        <w:t xml:space="preserve">Third language acquisition in adulthood</w:t>
      </w:r>
      <w:r>
        <w:t xml:space="preserve">. John Benjamins.</w:t>
      </w:r>
    </w:p>
    <w:bookmarkEnd w:id="100"/>
    <w:bookmarkStart w:id="102" w:name="ref-stan"/>
    <w:p>
      <w:pPr>
        <w:pStyle w:val="Bibliography"/>
      </w:pPr>
      <w:r>
        <w:t xml:space="preserve">Carpenter, B., Gelman, A., Hoffman, M., Lee, D., Goodrich, B., Betancourt, M., Brubaker, M., Guo, J., Li, P., &amp; Riddell, A. (2017). Stan: A probabilistic programming language.</w:t>
      </w:r>
      <w:r>
        <w:t xml:space="preserve"> </w:t>
      </w:r>
      <w:r>
        <w:rPr>
          <w:i/>
          <w:iCs/>
        </w:rPr>
        <w:t xml:space="preserve">Journal of Statistical Software, Articles</w:t>
      </w:r>
      <w:r>
        <w:t xml:space="preserve">,</w:t>
      </w:r>
      <w:r>
        <w:t xml:space="preserve"> </w:t>
      </w:r>
      <w:r>
        <w:rPr>
          <w:i/>
          <w:iCs/>
        </w:rPr>
        <w:t xml:space="preserve">76</w:t>
      </w:r>
      <w:r>
        <w:t xml:space="preserve">(1), 1–32.</w:t>
      </w:r>
      <w:r>
        <w:t xml:space="preserve"> </w:t>
      </w:r>
      <w:hyperlink r:id="rId101">
        <w:r>
          <w:rPr>
            <w:rStyle w:val="Hyperlink"/>
          </w:rPr>
          <w:t xml:space="preserve">https://doi.org/10.18637/jss.v076.i01</w:t>
        </w:r>
      </w:hyperlink>
    </w:p>
    <w:bookmarkEnd w:id="102"/>
    <w:bookmarkStart w:id="104" w:name="ref-cunnings2012overview"/>
    <w:p>
      <w:pPr>
        <w:pStyle w:val="Bibliography"/>
      </w:pPr>
      <w:r>
        <w:t xml:space="preserve">Cunnings, I. (2012). An overview of mixed-effects statistical models for second language researchers.</w:t>
      </w:r>
      <w:r>
        <w:t xml:space="preserve"> </w:t>
      </w:r>
      <w:r>
        <w:rPr>
          <w:i/>
          <w:iCs/>
        </w:rPr>
        <w:t xml:space="preserve">Second Language Research</w:t>
      </w:r>
      <w:r>
        <w:t xml:space="preserve">,</w:t>
      </w:r>
      <w:r>
        <w:t xml:space="preserve"> </w:t>
      </w:r>
      <w:r>
        <w:rPr>
          <w:i/>
          <w:iCs/>
        </w:rPr>
        <w:t xml:space="preserve">28</w:t>
      </w:r>
      <w:r>
        <w:t xml:space="preserve">(3), 369–382.</w:t>
      </w:r>
      <w:r>
        <w:t xml:space="preserve"> </w:t>
      </w:r>
      <w:hyperlink r:id="rId103">
        <w:r>
          <w:rPr>
            <w:rStyle w:val="Hyperlink"/>
          </w:rPr>
          <w:t xml:space="preserve">https://doi.org/10.1177/0267658312443651</w:t>
        </w:r>
      </w:hyperlink>
    </w:p>
    <w:bookmarkEnd w:id="104"/>
    <w:bookmarkStart w:id="106" w:name="ref-garcia_2020_slr"/>
    <w:p>
      <w:pPr>
        <w:pStyle w:val="Bibliography"/>
      </w:pPr>
      <w:r>
        <w:t xml:space="preserve">Garcia, G. D. (2020). Language transfer and positional bias in</w:t>
      </w:r>
      <w:r>
        <w:t xml:space="preserve"> </w:t>
      </w:r>
      <w:r>
        <w:t xml:space="preserve">E</w:t>
      </w:r>
      <w:r>
        <w:t xml:space="preserve">nglish stress.</w:t>
      </w:r>
      <w:r>
        <w:t xml:space="preserve"> </w:t>
      </w:r>
      <w:r>
        <w:rPr>
          <w:i/>
          <w:iCs/>
        </w:rPr>
        <w:t xml:space="preserve">Second Language Research</w:t>
      </w:r>
      <w:r>
        <w:t xml:space="preserve">,</w:t>
      </w:r>
      <w:r>
        <w:t xml:space="preserve"> </w:t>
      </w:r>
      <w:r>
        <w:rPr>
          <w:i/>
          <w:iCs/>
        </w:rPr>
        <w:t xml:space="preserve">36</w:t>
      </w:r>
      <w:r>
        <w:t xml:space="preserve">(4), 445–474.</w:t>
      </w:r>
      <w:r>
        <w:t xml:space="preserve"> </w:t>
      </w:r>
      <w:hyperlink r:id="rId105">
        <w:r>
          <w:rPr>
            <w:rStyle w:val="Hyperlink"/>
          </w:rPr>
          <w:t xml:space="preserve">https://doi.org/10.1177/0267658319882457</w:t>
        </w:r>
      </w:hyperlink>
    </w:p>
    <w:bookmarkEnd w:id="106"/>
    <w:bookmarkStart w:id="107" w:name="ref-garcia_2021_dvaslr"/>
    <w:p>
      <w:pPr>
        <w:pStyle w:val="Bibliography"/>
      </w:pPr>
      <w:r>
        <w:t xml:space="preserve">Garcia, G. D. (2021).</w:t>
      </w:r>
      <w:r>
        <w:t xml:space="preserve"> </w:t>
      </w:r>
      <w:r>
        <w:rPr>
          <w:i/>
          <w:iCs/>
        </w:rPr>
        <w:t xml:space="preserve">Data visualization and analysis in second language research</w:t>
      </w:r>
      <w:r>
        <w:t xml:space="preserve">. Routledge.</w:t>
      </w:r>
    </w:p>
    <w:bookmarkEnd w:id="107"/>
    <w:bookmarkStart w:id="109" w:name="ref-garcia_2023_handbook_ln"/>
    <w:p>
      <w:pPr>
        <w:pStyle w:val="Bibliography"/>
      </w:pPr>
      <w:r>
        <w:t xml:space="preserve">Garcia, G. D. (2023). Statistical modeling in</w:t>
      </w:r>
      <w:r>
        <w:t xml:space="preserve"> </w:t>
      </w:r>
      <w:r>
        <w:t xml:space="preserve">L</w:t>
      </w:r>
      <w:r>
        <w:t xml:space="preserve">3/</w:t>
      </w:r>
      <w:r>
        <w:t xml:space="preserve">L</w:t>
      </w:r>
      <w:r>
        <w:t xml:space="preserve">n acquisition. In J. Cabrelli, A. Chaouch-Orozco, J. González Alonso, S. M. Pereira Soares, E. Puig-Mayenco, &amp; J. Rothman (Eds.),</w:t>
      </w:r>
      <w:r>
        <w:t xml:space="preserve"> </w:t>
      </w:r>
      <w:r>
        <w:rPr>
          <w:i/>
          <w:iCs/>
        </w:rPr>
        <w:t xml:space="preserve">The</w:t>
      </w:r>
      <w:r>
        <w:rPr>
          <w:i/>
          <w:iCs/>
        </w:rPr>
        <w:t xml:space="preserve"> </w:t>
      </w:r>
      <w:r>
        <w:rPr>
          <w:i/>
          <w:iCs/>
        </w:rPr>
        <w:t xml:space="preserve">C</w:t>
      </w:r>
      <w:r>
        <w:rPr>
          <w:i/>
          <w:iCs/>
        </w:rPr>
        <w:t xml:space="preserve">ambridge handbook of</w:t>
      </w:r>
      <w:r>
        <w:rPr>
          <w:i/>
          <w:iCs/>
        </w:rPr>
        <w:t xml:space="preserve"> </w:t>
      </w:r>
      <w:r>
        <w:rPr>
          <w:i/>
          <w:iCs/>
        </w:rPr>
        <w:t xml:space="preserve">T</w:t>
      </w:r>
      <w:r>
        <w:rPr>
          <w:i/>
          <w:iCs/>
        </w:rPr>
        <w:t xml:space="preserve">hird</w:t>
      </w:r>
      <w:r>
        <w:rPr>
          <w:i/>
          <w:iCs/>
        </w:rPr>
        <w:t xml:space="preserve"> </w:t>
      </w:r>
      <w:r>
        <w:rPr>
          <w:i/>
          <w:iCs/>
        </w:rPr>
        <w:t xml:space="preserve">L</w:t>
      </w:r>
      <w:r>
        <w:rPr>
          <w:i/>
          <w:iCs/>
        </w:rPr>
        <w:t xml:space="preserve">anguage</w:t>
      </w:r>
      <w:r>
        <w:rPr>
          <w:i/>
          <w:iCs/>
        </w:rPr>
        <w:t xml:space="preserve"> </w:t>
      </w:r>
      <w:r>
        <w:rPr>
          <w:i/>
          <w:iCs/>
        </w:rPr>
        <w:t xml:space="preserve">A</w:t>
      </w:r>
      <w:r>
        <w:rPr>
          <w:i/>
          <w:iCs/>
        </w:rPr>
        <w:t xml:space="preserve">cquisition</w:t>
      </w:r>
      <w:r>
        <w:t xml:space="preserve"> </w:t>
      </w:r>
      <w:r>
        <w:t xml:space="preserve">(pp. 744–770). Cambridge University Press.</w:t>
      </w:r>
      <w:r>
        <w:t xml:space="preserve"> </w:t>
      </w:r>
      <w:hyperlink r:id="rId108">
        <w:r>
          <w:rPr>
            <w:rStyle w:val="Hyperlink"/>
          </w:rPr>
          <w:t xml:space="preserve">https://doi.org/10.1017/9781108957823.030</w:t>
        </w:r>
      </w:hyperlink>
    </w:p>
    <w:bookmarkEnd w:id="109"/>
    <w:bookmarkStart w:id="110" w:name="ref-gelman2008objections"/>
    <w:p>
      <w:pPr>
        <w:pStyle w:val="Bibliography"/>
      </w:pPr>
      <w:r>
        <w:t xml:space="preserve">Gelman, A. (2008). Objections to</w:t>
      </w:r>
      <w:r>
        <w:t xml:space="preserve"> </w:t>
      </w:r>
      <w:r>
        <w:t xml:space="preserve">B</w:t>
      </w:r>
      <w:r>
        <w:t xml:space="preserve">ayesian statistics.</w:t>
      </w:r>
      <w:r>
        <w:t xml:space="preserve"> </w:t>
      </w:r>
      <w:r>
        <w:rPr>
          <w:i/>
          <w:iCs/>
        </w:rPr>
        <w:t xml:space="preserve">Bayesian Analysis</w:t>
      </w:r>
      <w:r>
        <w:t xml:space="preserve">,</w:t>
      </w:r>
      <w:r>
        <w:t xml:space="preserve"> </w:t>
      </w:r>
      <w:r>
        <w:rPr>
          <w:i/>
          <w:iCs/>
        </w:rPr>
        <w:t xml:space="preserve">3</w:t>
      </w:r>
      <w:r>
        <w:t xml:space="preserve">(3), 445–449.</w:t>
      </w:r>
    </w:p>
    <w:bookmarkEnd w:id="110"/>
    <w:bookmarkStart w:id="112" w:name="ref-gelman2021bayesian"/>
    <w:p>
      <w:pPr>
        <w:pStyle w:val="Bibliography"/>
      </w:pPr>
      <w:r>
        <w:t xml:space="preserve">Gelman, A. (2021, January 31).</w:t>
      </w:r>
      <w:r>
        <w:t xml:space="preserve"> </w:t>
      </w:r>
      <w:r>
        <w:rPr>
          <w:i/>
          <w:iCs/>
        </w:rPr>
        <w:t xml:space="preserve">Bayesian inference completely solves the multiple comparisons problem</w:t>
      </w:r>
      <w:r>
        <w:t xml:space="preserve">.</w:t>
      </w:r>
      <w:r>
        <w:t xml:space="preserve"> </w:t>
      </w:r>
      <w:hyperlink r:id="rId111">
        <w:r>
          <w:rPr>
            <w:rStyle w:val="Hyperlink"/>
          </w:rPr>
          <w:t xml:space="preserve">https://statmodeling.stat.columbia.edu/2021/01/31/bayesian-inference-completely-solves-the-multiple-comparisons-problem-2/</w:t>
        </w:r>
      </w:hyperlink>
    </w:p>
    <w:bookmarkEnd w:id="112"/>
    <w:bookmarkStart w:id="114" w:name="ref-gelman2017beyond"/>
    <w:p>
      <w:pPr>
        <w:pStyle w:val="Bibliography"/>
      </w:pPr>
      <w:r>
        <w:t xml:space="preserve">Gelman, A., &amp; Hennig, C. (2017). Beyond subjective and objective in statistics.</w:t>
      </w:r>
      <w:r>
        <w:t xml:space="preserve"> </w:t>
      </w:r>
      <w:r>
        <w:rPr>
          <w:i/>
          <w:iCs/>
        </w:rPr>
        <w:t xml:space="preserve">Journal of the Royal Statistical Society Series A: Statistics in Society</w:t>
      </w:r>
      <w:r>
        <w:t xml:space="preserve">,</w:t>
      </w:r>
      <w:r>
        <w:t xml:space="preserve"> </w:t>
      </w:r>
      <w:r>
        <w:rPr>
          <w:i/>
          <w:iCs/>
        </w:rPr>
        <w:t xml:space="preserve">180</w:t>
      </w:r>
      <w:r>
        <w:t xml:space="preserve">(4), 967–1033.</w:t>
      </w:r>
      <w:r>
        <w:t xml:space="preserve"> </w:t>
      </w:r>
      <w:hyperlink r:id="rId113">
        <w:r>
          <w:rPr>
            <w:rStyle w:val="Hyperlink"/>
          </w:rPr>
          <w:t xml:space="preserve">https://doi.org/10.1111/rssa.12276</w:t>
        </w:r>
      </w:hyperlink>
    </w:p>
    <w:bookmarkEnd w:id="114"/>
    <w:bookmarkStart w:id="115" w:name="ref-gelman_hill"/>
    <w:p>
      <w:pPr>
        <w:pStyle w:val="Bibliography"/>
      </w:pPr>
      <w:r>
        <w:t xml:space="preserve">Gelman, A., &amp; Hill, J. (2006).</w:t>
      </w:r>
      <w:r>
        <w:t xml:space="preserve"> </w:t>
      </w:r>
      <w:r>
        <w:rPr>
          <w:i/>
          <w:iCs/>
        </w:rPr>
        <w:t xml:space="preserve">Data analysis using regression and multilevel/hierarchical models</w:t>
      </w:r>
      <w:r>
        <w:t xml:space="preserve">. New York: Cambridge University Press.</w:t>
      </w:r>
    </w:p>
    <w:bookmarkEnd w:id="115"/>
    <w:bookmarkStart w:id="116" w:name="ref-gelman2012we"/>
    <w:p>
      <w:pPr>
        <w:pStyle w:val="Bibliography"/>
      </w:pPr>
      <w:r>
        <w:t xml:space="preserve">Gelman, A., Hill, J., &amp; Yajima, M. (2012). Why we (usually) don’t have to worry about multiple comparisons.</w:t>
      </w:r>
      <w:r>
        <w:t xml:space="preserve"> </w:t>
      </w:r>
      <w:r>
        <w:rPr>
          <w:i/>
          <w:iCs/>
        </w:rPr>
        <w:t xml:space="preserve">Journal of Research on Educational Effectiveness</w:t>
      </w:r>
      <w:r>
        <w:t xml:space="preserve">,</w:t>
      </w:r>
      <w:r>
        <w:t xml:space="preserve"> </w:t>
      </w:r>
      <w:r>
        <w:rPr>
          <w:i/>
          <w:iCs/>
        </w:rPr>
        <w:t xml:space="preserve">5</w:t>
      </w:r>
      <w:r>
        <w:t xml:space="preserve">(2), 189–211.</w:t>
      </w:r>
    </w:p>
    <w:bookmarkEnd w:id="116"/>
    <w:bookmarkStart w:id="117" w:name="ref-gelman2000type"/>
    <w:p>
      <w:pPr>
        <w:pStyle w:val="Bibliography"/>
      </w:pPr>
      <w:r>
        <w:t xml:space="preserve">Gelman, A., &amp; Tuerlinckx, F. (2000). Type s error rates for classical and bayesian single and multiple comparison procedures.</w:t>
      </w:r>
      <w:r>
        <w:t xml:space="preserve"> </w:t>
      </w:r>
      <w:r>
        <w:rPr>
          <w:i/>
          <w:iCs/>
        </w:rPr>
        <w:t xml:space="preserve">Computational Statistics</w:t>
      </w:r>
      <w:r>
        <w:t xml:space="preserve">,</w:t>
      </w:r>
      <w:r>
        <w:t xml:space="preserve"> </w:t>
      </w:r>
      <w:r>
        <w:rPr>
          <w:i/>
          <w:iCs/>
        </w:rPr>
        <w:t xml:space="preserve">15</w:t>
      </w:r>
      <w:r>
        <w:t xml:space="preserve">(3), 373–390.</w:t>
      </w:r>
    </w:p>
    <w:bookmarkEnd w:id="117"/>
    <w:bookmarkStart w:id="119" w:name="ref-jaeger2008categorical"/>
    <w:p>
      <w:pPr>
        <w:pStyle w:val="Bibliography"/>
      </w:pPr>
      <w:r>
        <w:t xml:space="preserve">Jaeger, T. F. (2008). Categorical data analysis: Away from</w:t>
      </w:r>
      <w:r>
        <w:t xml:space="preserve"> </w:t>
      </w:r>
      <w:r>
        <w:t xml:space="preserve">ANOVAs</w:t>
      </w:r>
      <w:r>
        <w:t xml:space="preserve"> </w:t>
      </w:r>
      <w:r>
        <w:t xml:space="preserve">(transformation or not) and towards logit mixed models.</w:t>
      </w:r>
      <w:r>
        <w:t xml:space="preserve"> </w:t>
      </w:r>
      <w:r>
        <w:rPr>
          <w:i/>
          <w:iCs/>
        </w:rPr>
        <w:t xml:space="preserve">Journal of Memory and Language</w:t>
      </w:r>
      <w:r>
        <w:t xml:space="preserve">,</w:t>
      </w:r>
      <w:r>
        <w:t xml:space="preserve"> </w:t>
      </w:r>
      <w:r>
        <w:rPr>
          <w:i/>
          <w:iCs/>
        </w:rPr>
        <w:t xml:space="preserve">59</w:t>
      </w:r>
      <w:r>
        <w:t xml:space="preserve">(4), 434–446.</w:t>
      </w:r>
      <w:r>
        <w:t xml:space="preserve"> </w:t>
      </w:r>
      <w:hyperlink r:id="rId118">
        <w:r>
          <w:rPr>
            <w:rStyle w:val="Hyperlink"/>
          </w:rPr>
          <w:t xml:space="preserve">https://doi.org/10.1016/j.jml.2007.11.007</w:t>
        </w:r>
      </w:hyperlink>
    </w:p>
    <w:bookmarkEnd w:id="119"/>
    <w:bookmarkStart w:id="121" w:name="ref-tidybayes"/>
    <w:p>
      <w:pPr>
        <w:pStyle w:val="Bibliography"/>
      </w:pPr>
      <w:r>
        <w:t xml:space="preserve">Kay, M. (2020).</w:t>
      </w:r>
      <w:r>
        <w:t xml:space="preserve"> </w:t>
      </w:r>
      <w:r>
        <w:rPr>
          <w:rStyle w:val="VerbatimChar"/>
          <w:i/>
          <w:iCs/>
        </w:rPr>
        <w:t xml:space="preserve">tidybayes</w:t>
      </w:r>
      <w:r>
        <w:rPr>
          <w:i/>
          <w:iCs/>
        </w:rPr>
        <w:t xml:space="preserve">: Tidy data and geoms for</w:t>
      </w:r>
      <w:r>
        <w:rPr>
          <w:i/>
          <w:iCs/>
        </w:rPr>
        <w:t xml:space="preserve"> </w:t>
      </w:r>
      <w:r>
        <w:rPr>
          <w:i/>
          <w:iCs/>
        </w:rPr>
        <w:t xml:space="preserve">B</w:t>
      </w:r>
      <w:r>
        <w:rPr>
          <w:i/>
          <w:iCs/>
        </w:rPr>
        <w:t xml:space="preserve">ayesian models</w:t>
      </w:r>
      <w:r>
        <w:t xml:space="preserve">.</w:t>
      </w:r>
      <w:r>
        <w:t xml:space="preserve"> </w:t>
      </w:r>
      <w:hyperlink r:id="rId120">
        <w:r>
          <w:rPr>
            <w:rStyle w:val="Hyperlink"/>
          </w:rPr>
          <w:t xml:space="preserve">https://doi.org/10.5281/zenodo.1308151</w:t>
        </w:r>
      </w:hyperlink>
    </w:p>
    <w:bookmarkEnd w:id="121"/>
    <w:bookmarkStart w:id="122" w:name="ref-kruschke2013bayesian"/>
    <w:p>
      <w:pPr>
        <w:pStyle w:val="Bibliography"/>
      </w:pPr>
      <w:r>
        <w:t xml:space="preserve">Kruschke, J. K. (2013). Bayesian estimation supersedes the</w:t>
      </w:r>
      <w:r>
        <w:t xml:space="preserve"> </w:t>
      </w:r>
      <w:r>
        <w:rPr>
          <w:i/>
          <w:iCs/>
        </w:rPr>
        <w:t xml:space="preserve">t</w:t>
      </w:r>
      <w:r>
        <w:t xml:space="preserve"> </w:t>
      </w:r>
      <w:r>
        <w:t xml:space="preserve">test.</w:t>
      </w:r>
      <w:r>
        <w:t xml:space="preserve"> </w:t>
      </w:r>
      <w:r>
        <w:rPr>
          <w:i/>
          <w:iCs/>
        </w:rPr>
        <w:t xml:space="preserve">Journal of Experimental Psychology: General</w:t>
      </w:r>
      <w:r>
        <w:t xml:space="preserve">,</w:t>
      </w:r>
      <w:r>
        <w:t xml:space="preserve"> </w:t>
      </w:r>
      <w:r>
        <w:rPr>
          <w:i/>
          <w:iCs/>
        </w:rPr>
        <w:t xml:space="preserve">142</w:t>
      </w:r>
      <w:r>
        <w:t xml:space="preserve">(2), 573–603.</w:t>
      </w:r>
    </w:p>
    <w:bookmarkEnd w:id="122"/>
    <w:bookmarkStart w:id="123" w:name="ref-kruschke2015doing"/>
    <w:p>
      <w:pPr>
        <w:pStyle w:val="Bibliography"/>
      </w:pPr>
      <w:r>
        <w:t xml:space="preserve">Kruschke, J. K. (2015).</w:t>
      </w:r>
      <w:r>
        <w:t xml:space="preserve"> </w:t>
      </w:r>
      <w:r>
        <w:rPr>
          <w:i/>
          <w:iCs/>
        </w:rPr>
        <w:t xml:space="preserve">Doing</w:t>
      </w:r>
      <w:r>
        <w:rPr>
          <w:i/>
          <w:iCs/>
        </w:rPr>
        <w:t xml:space="preserve"> </w:t>
      </w:r>
      <w:r>
        <w:rPr>
          <w:i/>
          <w:iCs/>
        </w:rPr>
        <w:t xml:space="preserve">B</w:t>
      </w:r>
      <w:r>
        <w:rPr>
          <w:i/>
          <w:iCs/>
        </w:rPr>
        <w:t xml:space="preserve">ayesian data analysis: A tutorial with</w:t>
      </w:r>
      <w:r>
        <w:rPr>
          <w:i/>
          <w:iCs/>
        </w:rPr>
        <w:t xml:space="preserve"> </w:t>
      </w:r>
      <w:r>
        <w:rPr>
          <w:i/>
          <w:iCs/>
        </w:rPr>
        <w:t xml:space="preserve">R</w:t>
      </w:r>
      <w:r>
        <w:rPr>
          <w:i/>
          <w:iCs/>
        </w:rPr>
        <w:t xml:space="preserve">,</w:t>
      </w:r>
      <w:r>
        <w:rPr>
          <w:i/>
          <w:iCs/>
        </w:rPr>
        <w:t xml:space="preserve"> </w:t>
      </w:r>
      <w:r>
        <w:rPr>
          <w:i/>
          <w:iCs/>
        </w:rPr>
        <w:t xml:space="preserve">JAGS</w:t>
      </w:r>
      <w:r>
        <w:rPr>
          <w:i/>
          <w:iCs/>
        </w:rPr>
        <w:t xml:space="preserve">, and</w:t>
      </w:r>
      <w:r>
        <w:rPr>
          <w:i/>
          <w:iCs/>
        </w:rPr>
        <w:t xml:space="preserve"> </w:t>
      </w:r>
      <w:r>
        <w:rPr>
          <w:i/>
          <w:iCs/>
        </w:rPr>
        <w:t xml:space="preserve">S</w:t>
      </w:r>
      <w:r>
        <w:rPr>
          <w:i/>
          <w:iCs/>
        </w:rPr>
        <w:t xml:space="preserve">tan</w:t>
      </w:r>
      <w:r>
        <w:t xml:space="preserve"> </w:t>
      </w:r>
      <w:r>
        <w:t xml:space="preserve">(2nd ed.). Academic Press.</w:t>
      </w:r>
    </w:p>
    <w:bookmarkEnd w:id="123"/>
    <w:bookmarkStart w:id="124" w:name="ref-kruschke2021bayesian"/>
    <w:p>
      <w:pPr>
        <w:pStyle w:val="Bibliography"/>
      </w:pPr>
      <w:r>
        <w:t xml:space="preserve">Kruschke, J. K. (2021). Bayesian analysis reporting guidelines.</w:t>
      </w:r>
      <w:r>
        <w:t xml:space="preserve"> </w:t>
      </w:r>
      <w:r>
        <w:rPr>
          <w:i/>
          <w:iCs/>
        </w:rPr>
        <w:t xml:space="preserve">Nature Human Behaviour</w:t>
      </w:r>
      <w:r>
        <w:t xml:space="preserve">,</w:t>
      </w:r>
      <w:r>
        <w:t xml:space="preserve"> </w:t>
      </w:r>
      <w:r>
        <w:rPr>
          <w:i/>
          <w:iCs/>
        </w:rPr>
        <w:t xml:space="preserve">5</w:t>
      </w:r>
      <w:r>
        <w:t xml:space="preserve">(10), 1282–1291.</w:t>
      </w:r>
    </w:p>
    <w:bookmarkEnd w:id="124"/>
    <w:bookmarkStart w:id="125" w:name="ref-kruschke2018bayesian"/>
    <w:p>
      <w:pPr>
        <w:pStyle w:val="Bibliography"/>
      </w:pPr>
      <w:r>
        <w:t xml:space="preserve">Kruschke, J. K., &amp; Liddell, T. M. (2018). Bayesian data analysis for newcomers.</w:t>
      </w:r>
      <w:r>
        <w:t xml:space="preserve"> </w:t>
      </w:r>
      <w:r>
        <w:rPr>
          <w:i/>
          <w:iCs/>
        </w:rPr>
        <w:t xml:space="preserve">Psychonomic Bulletin &amp; Review</w:t>
      </w:r>
      <w:r>
        <w:t xml:space="preserve">,</w:t>
      </w:r>
      <w:r>
        <w:t xml:space="preserve"> </w:t>
      </w:r>
      <w:r>
        <w:rPr>
          <w:i/>
          <w:iCs/>
        </w:rPr>
        <w:t xml:space="preserve">25</w:t>
      </w:r>
      <w:r>
        <w:t xml:space="preserve">(1), 155–177.</w:t>
      </w:r>
    </w:p>
    <w:bookmarkEnd w:id="125"/>
    <w:bookmarkStart w:id="126" w:name="ref-luce1991response"/>
    <w:p>
      <w:pPr>
        <w:pStyle w:val="Bibliography"/>
      </w:pPr>
      <w:r>
        <w:t xml:space="preserve">Luce, R. D. (1991).</w:t>
      </w:r>
      <w:r>
        <w:t xml:space="preserve"> </w:t>
      </w:r>
      <w:r>
        <w:rPr>
          <w:i/>
          <w:iCs/>
        </w:rPr>
        <w:t xml:space="preserve">Response times: Their role in inferring elementary mental organization</w:t>
      </w:r>
      <w:r>
        <w:t xml:space="preserve">. Oxford University Press.</w:t>
      </w:r>
    </w:p>
    <w:bookmarkEnd w:id="126"/>
    <w:bookmarkStart w:id="128" w:name="ref-bayestestR"/>
    <w:p>
      <w:pPr>
        <w:pStyle w:val="Bibliography"/>
      </w:pPr>
      <w:r>
        <w:t xml:space="preserve">Makowski, D., Ben-Shachar, M. S., &amp; Lüdecke, D. (2019).</w:t>
      </w:r>
      <w:r>
        <w:t xml:space="preserve"> </w:t>
      </w:r>
      <w:r>
        <w:rPr>
          <w:rStyle w:val="VerbatimChar"/>
        </w:rPr>
        <w:t xml:space="preserve">bayestestR</w:t>
      </w:r>
      <w:r>
        <w:t xml:space="preserve">: Describing effects and their uncertainty, existence and significance within the</w:t>
      </w:r>
      <w:r>
        <w:t xml:space="preserve"> </w:t>
      </w:r>
      <w:r>
        <w:t xml:space="preserve">B</w:t>
      </w:r>
      <w:r>
        <w:t xml:space="preserve">ayesian framework.</w:t>
      </w:r>
      <w:r>
        <w:t xml:space="preserve"> </w:t>
      </w:r>
      <w:r>
        <w:rPr>
          <w:i/>
          <w:iCs/>
        </w:rPr>
        <w:t xml:space="preserve">Journal of Open Source Software</w:t>
      </w:r>
      <w:r>
        <w:t xml:space="preserve">,</w:t>
      </w:r>
      <w:r>
        <w:t xml:space="preserve"> </w:t>
      </w:r>
      <w:r>
        <w:rPr>
          <w:i/>
          <w:iCs/>
        </w:rPr>
        <w:t xml:space="preserve">4</w:t>
      </w:r>
      <w:r>
        <w:t xml:space="preserve">(40), 1541.</w:t>
      </w:r>
      <w:r>
        <w:t xml:space="preserve"> </w:t>
      </w:r>
      <w:hyperlink r:id="rId127">
        <w:r>
          <w:rPr>
            <w:rStyle w:val="Hyperlink"/>
          </w:rPr>
          <w:t xml:space="preserve">https://doi.org/10.21105/joss.01541</w:t>
        </w:r>
      </w:hyperlink>
    </w:p>
    <w:bookmarkEnd w:id="128"/>
    <w:bookmarkStart w:id="129" w:name="ref-mcelreath2016statistical"/>
    <w:p>
      <w:pPr>
        <w:pStyle w:val="Bibliography"/>
      </w:pPr>
      <w:r>
        <w:t xml:space="preserve">McElreath, R. (2020).</w:t>
      </w:r>
      <w:r>
        <w:t xml:space="preserve"> </w:t>
      </w:r>
      <w:r>
        <w:rPr>
          <w:i/>
          <w:iCs/>
        </w:rPr>
        <w:t xml:space="preserve">Statistical rethinking: A</w:t>
      </w:r>
      <w:r>
        <w:rPr>
          <w:i/>
          <w:iCs/>
        </w:rPr>
        <w:t xml:space="preserve"> </w:t>
      </w:r>
      <w:r>
        <w:rPr>
          <w:i/>
          <w:iCs/>
        </w:rPr>
        <w:t xml:space="preserve">B</w:t>
      </w:r>
      <w:r>
        <w:rPr>
          <w:i/>
          <w:iCs/>
        </w:rPr>
        <w:t xml:space="preserve">ayesian course with examples in</w:t>
      </w:r>
      <w:r>
        <w:rPr>
          <w:i/>
          <w:iCs/>
        </w:rPr>
        <w:t xml:space="preserve"> </w:t>
      </w:r>
      <w:r>
        <w:rPr>
          <w:i/>
          <w:iCs/>
        </w:rPr>
        <w:t xml:space="preserve">R</w:t>
      </w:r>
      <w:r>
        <w:rPr>
          <w:i/>
          <w:iCs/>
        </w:rPr>
        <w:t xml:space="preserve"> </w:t>
      </w:r>
      <w:r>
        <w:rPr>
          <w:i/>
          <w:iCs/>
        </w:rPr>
        <w:t xml:space="preserve">and</w:t>
      </w:r>
      <w:r>
        <w:rPr>
          <w:i/>
          <w:iCs/>
        </w:rPr>
        <w:t xml:space="preserve"> </w:t>
      </w:r>
      <w:r>
        <w:rPr>
          <w:i/>
          <w:iCs/>
        </w:rPr>
        <w:t xml:space="preserve">S</w:t>
      </w:r>
      <w:r>
        <w:rPr>
          <w:i/>
          <w:iCs/>
        </w:rPr>
        <w:t xml:space="preserve">tan</w:t>
      </w:r>
      <w:r>
        <w:t xml:space="preserve"> </w:t>
      </w:r>
      <w:r>
        <w:t xml:space="preserve">(2nd ed.). Chapman &amp; Hall/CRC.</w:t>
      </w:r>
    </w:p>
    <w:bookmarkEnd w:id="129"/>
    <w:bookmarkStart w:id="130" w:name="ref-mcgrayne2011theory"/>
    <w:p>
      <w:pPr>
        <w:pStyle w:val="Bibliography"/>
      </w:pPr>
      <w:r>
        <w:t xml:space="preserve">McGrayne, S. B. (2011).</w:t>
      </w:r>
      <w:r>
        <w:t xml:space="preserve"> </w:t>
      </w:r>
      <w:r>
        <w:rPr>
          <w:i/>
          <w:iCs/>
        </w:rPr>
        <w:t xml:space="preserve">The theory that would not die: How</w:t>
      </w:r>
      <w:r>
        <w:rPr>
          <w:i/>
          <w:iCs/>
        </w:rPr>
        <w:t xml:space="preserve"> </w:t>
      </w:r>
      <w:r>
        <w:rPr>
          <w:i/>
          <w:iCs/>
        </w:rPr>
        <w:t xml:space="preserve">B</w:t>
      </w:r>
      <w:r>
        <w:rPr>
          <w:i/>
          <w:iCs/>
        </w:rPr>
        <w:t xml:space="preserve">ayes’ rule cracked the enigma code, hunted down</w:t>
      </w:r>
      <w:r>
        <w:rPr>
          <w:i/>
          <w:iCs/>
        </w:rPr>
        <w:t xml:space="preserve"> </w:t>
      </w:r>
      <w:r>
        <w:rPr>
          <w:i/>
          <w:iCs/>
        </w:rPr>
        <w:t xml:space="preserve">R</w:t>
      </w:r>
      <w:r>
        <w:rPr>
          <w:i/>
          <w:iCs/>
        </w:rPr>
        <w:t xml:space="preserve">ussian submarines, &amp; emerged triumphant from two centuries of controversy</w:t>
      </w:r>
      <w:r>
        <w:t xml:space="preserve">. Yale University Press.</w:t>
      </w:r>
    </w:p>
    <w:bookmarkEnd w:id="130"/>
    <w:bookmarkStart w:id="131" w:name="ref-plonsky2013study"/>
    <w:p>
      <w:pPr>
        <w:pStyle w:val="Bibliography"/>
      </w:pPr>
      <w:r>
        <w:t xml:space="preserve">Plonsky, L. (2013). Study quality in</w:t>
      </w:r>
      <w:r>
        <w:t xml:space="preserve"> </w:t>
      </w:r>
      <w:r>
        <w:t xml:space="preserve">SLA</w:t>
      </w:r>
      <w:r>
        <w:t xml:space="preserve">: An assessment of designs, analyses, and reporting practices in quantitative</w:t>
      </w:r>
      <w:r>
        <w:t xml:space="preserve"> </w:t>
      </w:r>
      <w:r>
        <w:t xml:space="preserve">L2</w:t>
      </w:r>
      <w:r>
        <w:t xml:space="preserve"> </w:t>
      </w:r>
      <w:r>
        <w:t xml:space="preserve">research.</w:t>
      </w:r>
      <w:r>
        <w:t xml:space="preserve"> </w:t>
      </w:r>
      <w:r>
        <w:rPr>
          <w:i/>
          <w:iCs/>
        </w:rPr>
        <w:t xml:space="preserve">Studies in Second Language Acquisition</w:t>
      </w:r>
      <w:r>
        <w:t xml:space="preserve">,</w:t>
      </w:r>
      <w:r>
        <w:t xml:space="preserve"> </w:t>
      </w:r>
      <w:r>
        <w:rPr>
          <w:i/>
          <w:iCs/>
        </w:rPr>
        <w:t xml:space="preserve">35</w:t>
      </w:r>
      <w:r>
        <w:t xml:space="preserve">(4), 655–687.</w:t>
      </w:r>
    </w:p>
    <w:bookmarkEnd w:id="131"/>
    <w:bookmarkStart w:id="132" w:name="ref-plonsky2014study"/>
    <w:p>
      <w:pPr>
        <w:pStyle w:val="Bibliography"/>
      </w:pPr>
      <w:r>
        <w:t xml:space="preserve">Plonsky, L. (2014). Study quality in quantitative</w:t>
      </w:r>
      <w:r>
        <w:t xml:space="preserve"> </w:t>
      </w:r>
      <w:r>
        <w:t xml:space="preserve">L</w:t>
      </w:r>
      <w:r>
        <w:t xml:space="preserve">2 research (1990–2010): A methodological synthesis and call for reform.</w:t>
      </w:r>
      <w:r>
        <w:t xml:space="preserve"> </w:t>
      </w:r>
      <w:r>
        <w:rPr>
          <w:i/>
          <w:iCs/>
        </w:rPr>
        <w:t xml:space="preserve">The Modern Language Journal</w:t>
      </w:r>
      <w:r>
        <w:t xml:space="preserve">,</w:t>
      </w:r>
      <w:r>
        <w:t xml:space="preserve"> </w:t>
      </w:r>
      <w:r>
        <w:rPr>
          <w:i/>
          <w:iCs/>
        </w:rPr>
        <w:t xml:space="preserve">98</w:t>
      </w:r>
      <w:r>
        <w:t xml:space="preserve">(1), 450–470.</w:t>
      </w:r>
    </w:p>
    <w:bookmarkEnd w:id="132"/>
    <w:bookmarkStart w:id="134" w:name="ref-plonsky_oswald_2017"/>
    <w:p>
      <w:pPr>
        <w:pStyle w:val="Bibliography"/>
      </w:pPr>
      <w:r>
        <w:t xml:space="preserve">Plonsky, L., &amp; Oswald, F. L. (2017). Multiple regression as a flexible alternative to</w:t>
      </w:r>
      <w:r>
        <w:t xml:space="preserve"> </w:t>
      </w:r>
      <w:r>
        <w:t xml:space="preserve">ANOVA</w:t>
      </w:r>
      <w:r>
        <w:t xml:space="preserve"> </w:t>
      </w:r>
      <w:r>
        <w:t xml:space="preserve">in</w:t>
      </w:r>
      <w:r>
        <w:t xml:space="preserve"> </w:t>
      </w:r>
      <w:r>
        <w:t xml:space="preserve">L2</w:t>
      </w:r>
      <w:r>
        <w:t xml:space="preserve"> </w:t>
      </w:r>
      <w:r>
        <w:t xml:space="preserve">research.</w:t>
      </w:r>
      <w:r>
        <w:t xml:space="preserve"> </w:t>
      </w:r>
      <w:r>
        <w:rPr>
          <w:i/>
          <w:iCs/>
        </w:rPr>
        <w:t xml:space="preserve">Studies in Second Language Acquisition</w:t>
      </w:r>
      <w:r>
        <w:t xml:space="preserve">,</w:t>
      </w:r>
      <w:r>
        <w:t xml:space="preserve"> </w:t>
      </w:r>
      <w:r>
        <w:rPr>
          <w:i/>
          <w:iCs/>
        </w:rPr>
        <w:t xml:space="preserve">39</w:t>
      </w:r>
      <w:r>
        <w:t xml:space="preserve">(3), 579–592.</w:t>
      </w:r>
      <w:r>
        <w:t xml:space="preserve"> </w:t>
      </w:r>
      <w:hyperlink r:id="rId133">
        <w:r>
          <w:rPr>
            <w:rStyle w:val="Hyperlink"/>
          </w:rPr>
          <w:t xml:space="preserve">https://doi.org/10.1017/S0272263116000231</w:t>
        </w:r>
      </w:hyperlink>
    </w:p>
    <w:bookmarkEnd w:id="134"/>
    <w:bookmarkStart w:id="136" w:name="ref-r_language"/>
    <w:p>
      <w:pPr>
        <w:pStyle w:val="Bibliography"/>
      </w:pPr>
      <w:r>
        <w:t xml:space="preserve">R Core Team. (2025).</w:t>
      </w:r>
      <w:r>
        <w:t xml:space="preserve"> </w:t>
      </w:r>
      <w:r>
        <w:rPr>
          <w:i/>
          <w:iCs/>
        </w:rPr>
        <w:t xml:space="preserve">R: A language and environment for statistical computing</w:t>
      </w:r>
      <w:r>
        <w:t xml:space="preserve">. R Foundation for Statistical Computing.</w:t>
      </w:r>
      <w:r>
        <w:t xml:space="preserve"> </w:t>
      </w:r>
      <w:hyperlink r:id="rId135">
        <w:r>
          <w:rPr>
            <w:rStyle w:val="Hyperlink"/>
          </w:rPr>
          <w:t xml:space="preserve">http://www.R-project.org/</w:t>
        </w:r>
      </w:hyperlink>
    </w:p>
    <w:bookmarkEnd w:id="136"/>
    <w:bookmarkStart w:id="137" w:name="ref-sonderegger_quantitative"/>
    <w:p>
      <w:pPr>
        <w:pStyle w:val="Bibliography"/>
      </w:pPr>
      <w:r>
        <w:t xml:space="preserve">Sonderegger, M. (2023).</w:t>
      </w:r>
      <w:r>
        <w:t xml:space="preserve"> </w:t>
      </w:r>
      <w:r>
        <w:rPr>
          <w:i/>
          <w:iCs/>
        </w:rPr>
        <w:t xml:space="preserve">Regression modeling for linguistic data</w:t>
      </w:r>
      <w:r>
        <w:t xml:space="preserve">. MIT Press.</w:t>
      </w:r>
    </w:p>
    <w:bookmarkEnd w:id="137"/>
    <w:bookmarkStart w:id="138" w:name="ref-vanhove2013critical"/>
    <w:p>
      <w:pPr>
        <w:pStyle w:val="Bibliography"/>
      </w:pPr>
      <w:r>
        <w:t xml:space="preserve">Vanhove, J. (2013). The critical period hypothesis in second language acquisition: A statistical critique and a reanalysis.</w:t>
      </w:r>
      <w:r>
        <w:t xml:space="preserve"> </w:t>
      </w:r>
      <w:r>
        <w:rPr>
          <w:i/>
          <w:iCs/>
        </w:rPr>
        <w:t xml:space="preserve">PloS One</w:t>
      </w:r>
      <w:r>
        <w:t xml:space="preserve">,</w:t>
      </w:r>
      <w:r>
        <w:t xml:space="preserve"> </w:t>
      </w:r>
      <w:r>
        <w:rPr>
          <w:i/>
          <w:iCs/>
        </w:rPr>
        <w:t xml:space="preserve">8</w:t>
      </w:r>
      <w:r>
        <w:t xml:space="preserve">(7), e69172.</w:t>
      </w:r>
    </w:p>
    <w:bookmarkEnd w:id="138"/>
    <w:bookmarkStart w:id="140" w:name="ref-verissimo_2024"/>
    <w:p>
      <w:pPr>
        <w:pStyle w:val="Bibliography"/>
      </w:pPr>
      <w:r>
        <w:t xml:space="preserve">Veríssimo, J. (2024).</w:t>
      </w:r>
      <w:r>
        <w:t xml:space="preserve"> </w:t>
      </w:r>
      <w:r>
        <w:rPr>
          <w:i/>
          <w:iCs/>
        </w:rPr>
        <w:t xml:space="preserve">A gentle introduction to</w:t>
      </w:r>
      <w:r>
        <w:rPr>
          <w:i/>
          <w:iCs/>
        </w:rPr>
        <w:t xml:space="preserve"> </w:t>
      </w:r>
      <w:r>
        <w:rPr>
          <w:i/>
          <w:iCs/>
        </w:rPr>
        <w:t xml:space="preserve">B</w:t>
      </w:r>
      <w:r>
        <w:rPr>
          <w:i/>
          <w:iCs/>
        </w:rPr>
        <w:t xml:space="preserve">ayesian statistics, with applications to bilingualism research</w:t>
      </w:r>
      <w:r>
        <w:t xml:space="preserve">. PsyArXiv.</w:t>
      </w:r>
      <w:r>
        <w:t xml:space="preserve"> </w:t>
      </w:r>
      <w:hyperlink r:id="rId139">
        <w:r>
          <w:rPr>
            <w:rStyle w:val="Hyperlink"/>
          </w:rPr>
          <w:t xml:space="preserve">https://doi.org/10.31234/osf.io/7wfus</w:t>
        </w:r>
      </w:hyperlink>
    </w:p>
    <w:bookmarkEnd w:id="140"/>
    <w:bookmarkStart w:id="141" w:name="ref-whelan2008effective"/>
    <w:p>
      <w:pPr>
        <w:pStyle w:val="Bibliography"/>
      </w:pPr>
      <w:r>
        <w:t xml:space="preserve">Whelan, R. (2008). Effective analysis of reaction time data.</w:t>
      </w:r>
      <w:r>
        <w:t xml:space="preserve"> </w:t>
      </w:r>
      <w:r>
        <w:rPr>
          <w:i/>
          <w:iCs/>
        </w:rPr>
        <w:t xml:space="preserve">The Psychological Record</w:t>
      </w:r>
      <w:r>
        <w:t xml:space="preserve">,</w:t>
      </w:r>
      <w:r>
        <w:t xml:space="preserve"> </w:t>
      </w:r>
      <w:r>
        <w:rPr>
          <w:i/>
          <w:iCs/>
        </w:rPr>
        <w:t xml:space="preserve">58</w:t>
      </w:r>
      <w:r>
        <w:t xml:space="preserve">, 475–482.</w:t>
      </w:r>
    </w:p>
    <w:bookmarkEnd w:id="141"/>
    <w:bookmarkStart w:id="143" w:name="ref-tidyverse"/>
    <w:p>
      <w:pPr>
        <w:pStyle w:val="Bibliography"/>
      </w:pPr>
      <w:r>
        <w:t xml:space="preserve">Wickham, H., Averick, M., Bryan, J., Chang, W., McGowan, L. D., François, R., Grolemund, G., Hayes, A., Henry, L., Hester, J., Kuhn, M., Pedersen, T. L., Miller, E., Bache, S. M., Müller, K., Ooms, J., Robinson, D., Seidel, D. P., Spinu, V., … Yutani, H. (2019). Welcome to the</w:t>
      </w:r>
      <w:r>
        <w:t xml:space="preserve"> </w:t>
      </w:r>
      <w:r>
        <w:t xml:space="preserve">tidyverse</w:t>
      </w:r>
      <w:r>
        <w:t xml:space="preserve">.</w:t>
      </w:r>
      <w:r>
        <w:t xml:space="preserve"> </w:t>
      </w:r>
      <w:r>
        <w:rPr>
          <w:i/>
          <w:iCs/>
        </w:rPr>
        <w:t xml:space="preserve">Journal of Open Source Software</w:t>
      </w:r>
      <w:r>
        <w:t xml:space="preserve">,</w:t>
      </w:r>
      <w:r>
        <w:t xml:space="preserve"> </w:t>
      </w:r>
      <w:r>
        <w:rPr>
          <w:i/>
          <w:iCs/>
        </w:rPr>
        <w:t xml:space="preserve">4</w:t>
      </w:r>
      <w:r>
        <w:t xml:space="preserve">(43), 1686.</w:t>
      </w:r>
      <w:r>
        <w:t xml:space="preserve"> </w:t>
      </w:r>
      <w:hyperlink r:id="rId142">
        <w:r>
          <w:rPr>
            <w:rStyle w:val="Hyperlink"/>
          </w:rPr>
          <w:t xml:space="preserve">https://doi.org/10.21105/joss.01686</w:t>
        </w:r>
      </w:hyperlink>
    </w:p>
    <w:bookmarkEnd w:id="143"/>
    <w:bookmarkStart w:id="144" w:name="ref-winter_2019_stats_for_linguists"/>
    <w:p>
      <w:pPr>
        <w:pStyle w:val="Bibliography"/>
      </w:pPr>
      <w:r>
        <w:t xml:space="preserve">Winter, B. (2019).</w:t>
      </w:r>
      <w:r>
        <w:t xml:space="preserve"> </w:t>
      </w:r>
      <w:r>
        <w:rPr>
          <w:i/>
          <w:iCs/>
        </w:rPr>
        <w:t xml:space="preserve">Statistics for linguists: An introduction using</w:t>
      </w:r>
      <w:r>
        <w:rPr>
          <w:i/>
          <w:iCs/>
        </w:rPr>
        <w:t xml:space="preserve"> </w:t>
      </w:r>
      <w:r>
        <w:rPr>
          <w:i/>
          <w:iCs/>
        </w:rPr>
        <w:t xml:space="preserve">R</w:t>
      </w:r>
      <w:r>
        <w:t xml:space="preserve">. Routledge.</w:t>
      </w:r>
    </w:p>
    <w:bookmarkEnd w:id="144"/>
    <w:bookmarkEnd w:id="145"/>
    <w:bookmarkEnd w:id="146"/>
    <w:sectPr w:rsidR="000179C1" w:rsidRPr="00AC2C46">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This is not a strict rule, as confidence intervals in hierarchical models may also be narrower than those in non-hierarchical models, depending on the structure of the data. Similarly, while the standard errors in our hierarchical model are greater than those in the two non-hierarchical models—a common characteristic of hierarchical models—this is not universally the case.</w:t>
      </w:r>
    </w:p>
  </w:footnote>
  <w:footnote w:id="28">
    <w:p>
      <w:pPr>
        <w:pStyle w:val="FootnoteText"/>
      </w:pPr>
      <w:r>
        <w:rPr>
          <w:rStyle w:val="FootnoteReference"/>
        </w:rPr>
        <w:footnoteRef/>
      </w:r>
      <w:r>
        <w:t xml:space="preserve"> </w:t>
      </w:r>
      <w:r>
        <w:t xml:space="preserve">The set of possible values for a given variable, e.g., a coefficient in a regression model.</w:t>
      </w:r>
    </w:p>
  </w:footnote>
  <w:footnote w:id="40">
    <w:p>
      <w:pPr>
        <w:pStyle w:val="FootnoteText"/>
      </w:pPr>
      <w:r>
        <w:rPr>
          <w:rStyle w:val="FootnoteReference"/>
        </w:rPr>
        <w:footnoteRef/>
      </w:r>
      <w:r>
        <w:t xml:space="preserve"> </w:t>
      </w:r>
      <w:r>
        <w:t xml:space="preserve">Recall that</w:t>
      </w:r>
      <w:r>
        <w:t xml:space="preserve"> </w:t>
      </w:r>
      <w:r>
        <w:rPr>
          <w:rStyle w:val="VerbatimChar"/>
        </w:rPr>
        <w:t xml:space="preserve">resp</w:t>
      </w:r>
      <w:r>
        <w:t xml:space="preserve"> </w:t>
      </w:r>
      <w:r>
        <w:t xml:space="preserve">has been log-transformed, as is typical for reaction time data.</w:t>
      </w:r>
    </w:p>
  </w:footnote>
  <w:footnote w:id="43">
    <w:p>
      <w:pPr>
        <w:pStyle w:val="FootnoteText"/>
      </w:pPr>
      <w:r>
        <w:rPr>
          <w:rStyle w:val="FootnoteReference"/>
        </w:rPr>
        <w:footnoteRef/>
      </w:r>
      <w:r>
        <w:t xml:space="preserve"> </w:t>
      </w:r>
      <w:r>
        <w:t xml:space="preserve">While this is good news given the notion of homoscedasticity, Bayesian models make it much easier for us to assume difference variances across groups. This is not discussed here but is yet another advantage of Bayesian data analysis.</w:t>
      </w:r>
    </w:p>
  </w:footnote>
  <w:footnote w:id="45">
    <w:p>
      <w:pPr>
        <w:pStyle w:val="FootnoteText"/>
      </w:pPr>
      <w:r>
        <w:rPr>
          <w:rStyle w:val="FootnoteReference"/>
        </w:rPr>
        <w:footnoteRef/>
      </w:r>
      <w:r>
        <w:t xml:space="preserve"> </w:t>
      </w:r>
      <w:r>
        <w:t xml:space="preserve">In Bayesian inference, parameter uncertainty is directly measured by the posterior distribution’s standard deviation, distinct from the Frequentist concept of</w:t>
      </w:r>
      <w:r>
        <w:t xml:space="preserve"> </w:t>
      </w:r>
      <w:r>
        <w:t xml:space="preserve">“standard error”</w:t>
      </w:r>
      <w:r>
        <w:t xml:space="preserve">, which measures variability across hypothetical repeated samples.</w:t>
      </w:r>
    </w:p>
  </w:footnote>
  <w:footnote w:id="46">
    <w:p>
      <w:pPr>
        <w:pStyle w:val="FootnoteText"/>
      </w:pPr>
      <w:r>
        <w:rPr>
          <w:rStyle w:val="FootnoteReference"/>
        </w:rPr>
        <w:footnoteRef/>
      </w:r>
      <w:r>
        <w:t xml:space="preserve"> </w:t>
      </w:r>
      <w:r>
        <w:t xml:space="preserve">Also known as the Gelman-Rubin convergence diagnostic; see</w:t>
      </w:r>
      <w:r>
        <w:t xml:space="preserve"> </w:t>
      </w:r>
      <w:r>
        <w:t xml:space="preserve">Brooks et al. (2011)</w:t>
      </w:r>
      <w:r>
        <w:t xml:space="preserve">.</w:t>
      </w:r>
    </w:p>
  </w:footnote>
  <w:footnote w:id="47">
    <w:p>
      <w:pPr>
        <w:pStyle w:val="FootnoteText"/>
      </w:pPr>
      <w:r>
        <w:rPr>
          <w:rStyle w:val="FootnoteReference"/>
        </w:rPr>
        <w:footnoteRef/>
      </w:r>
      <w:r>
        <w:t xml:space="preserve"> </w:t>
      </w:r>
      <w:r>
        <w:t xml:space="preserve">This is indeed what is done for our null model</w:t>
      </w:r>
      <w:r>
        <w:t xml:space="preserve"> </w:t>
      </w:r>
      <w:r>
        <w:rPr>
          <w:rStyle w:val="VerbatimChar"/>
        </w:rPr>
        <w:t xml:space="preserve">bFitNull</w:t>
      </w:r>
      <w:r>
        <w:t xml:space="preserve"> </w:t>
      </w:r>
      <w:r>
        <w:t xml:space="preserve">in</w:t>
      </w:r>
      <w:r>
        <w:t xml:space="preserve"> </w:t>
      </w:r>
      <w:hyperlink w:anchor="lst-bFit1">
        <w:r>
          <w:rPr>
            <w:rStyle w:val="Hyperlink"/>
          </w:rPr>
          <w:t xml:space="preserve">Listing 5</w:t>
        </w:r>
      </w:hyperlink>
      <w:r>
        <w:t xml:space="preserve"> </w:t>
      </w:r>
      <w:r>
        <w:t xml:space="preserve">above, since ESS values are too low with the default number of iterations.</w:t>
      </w:r>
    </w:p>
  </w:footnote>
  <w:footnote w:id="53">
    <w:p>
      <w:pPr>
        <w:pStyle w:val="FootnoteText"/>
      </w:pPr>
      <w:r>
        <w:rPr>
          <w:rStyle w:val="FootnoteReference"/>
        </w:rPr>
        <w:footnoteRef/>
      </w:r>
      <w:r>
        <w:t xml:space="preserve"> </w:t>
      </w:r>
      <w:r>
        <w:t xml:space="preserve">Not to be confused with the Frequentist</w:t>
      </w:r>
      <w:r>
        <w:t xml:space="preserve"> </w:t>
      </w:r>
      <m:oMath>
        <m:r>
          <m:t>α</m:t>
        </m:r>
      </m:oMath>
      <w:r>
        <w:t xml:space="preserve"> </w:t>
      </w:r>
      <w:r>
        <w:t xml:space="preserve">level, which represents the long-run probability of making a Type I error, a meaning that is tied to the concept of repeated sampling.</w:t>
      </w:r>
    </w:p>
  </w:footnote>
  <w:footnote w:id="54">
    <w:p>
      <w:pPr>
        <w:pStyle w:val="FootnoteText"/>
      </w:pPr>
      <w:r>
        <w:rPr>
          <w:rStyle w:val="FootnoteReference"/>
        </w:rPr>
        <w:footnoteRef/>
      </w:r>
      <w:r>
        <w:t xml:space="preserve"> </w:t>
      </w:r>
      <w:r>
        <w:t xml:space="preserve">By default, the function uses 90% credible intervals for one-sided and 95% credible intervals for two-sided hypotheses—note that these are not highest density intervals. The reader should consult the documentation for the</w:t>
      </w:r>
      <w:r>
        <w:t xml:space="preserve"> </w:t>
      </w:r>
      <w:r>
        <w:rPr>
          <w:rStyle w:val="VerbatimChar"/>
        </w:rPr>
        <w:t xml:space="preserve">hypothesis()</w:t>
      </w:r>
      <w:r>
        <w:t xml:space="preserve"> </w:t>
      </w:r>
      <w:r>
        <w:t xml:space="preserve">function to read more about its assumptions and its output.</w:t>
      </w:r>
    </w:p>
  </w:footnote>
  <w:footnote w:id="57">
    <w:p>
      <w:pPr>
        <w:pStyle w:val="FootnoteText"/>
      </w:pPr>
      <w:r>
        <w:rPr>
          <w:rStyle w:val="FootnoteReference"/>
        </w:rPr>
        <w:footnoteRef/>
      </w:r>
      <w:r>
        <w:t xml:space="preserve"> </w:t>
      </w:r>
      <w:r>
        <w:t xml:space="preserve">This, of course, depends on the contrasts used in the model, which can be changed.</w:t>
      </w:r>
    </w:p>
  </w:footnote>
  <w:footnote w:id="58">
    <w:p>
      <w:pPr>
        <w:pStyle w:val="FootnoteText"/>
      </w:pPr>
      <w:r>
        <w:rPr>
          <w:rStyle w:val="FootnoteReference"/>
        </w:rPr>
        <w:footnoteRef/>
      </w:r>
      <w:r>
        <w:t xml:space="preserve"> </w:t>
      </w:r>
      <w:r>
        <w:t xml:space="preserve">Just like in any interval, 95% is an arbitrary threshold.</w:t>
      </w:r>
    </w:p>
  </w:footnote>
  <w:footnote w:id="59">
    <w:p>
      <w:pPr>
        <w:pStyle w:val="FootnoteText"/>
      </w:pPr>
      <w:r>
        <w:rPr>
          <w:rStyle w:val="FootnoteReference"/>
        </w:rPr>
        <w:footnoteRef/>
      </w:r>
      <w:r>
        <w:t xml:space="preserve"> </w:t>
      </w:r>
      <w:r>
        <w:t xml:space="preserve">We will see more effects if we consider</w:t>
      </w:r>
      <w:r>
        <w:t xml:space="preserve"> </w:t>
      </w:r>
      <w:r>
        <w:rPr>
          <w:i/>
          <w:iCs/>
        </w:rPr>
        <w:t xml:space="preserve">all</w:t>
      </w:r>
      <w:r>
        <w:t xml:space="preserve"> </w:t>
      </w:r>
      <w:r>
        <w:t xml:space="preserve">possible comparisons, as shown in</w:t>
      </w:r>
      <w:r>
        <w:t xml:space="preserve"> </w:t>
      </w:r>
      <w:hyperlink w:anchor="fig-final">
        <w:r>
          <w:rPr>
            <w:rStyle w:val="Hyperlink"/>
          </w:rPr>
          <w:t xml:space="preserve">Figure 5</w:t>
        </w:r>
      </w:hyperlink>
      <w:r>
        <w:t xml:space="preserve">.</w:t>
      </w:r>
    </w:p>
  </w:footnote>
  <w:footnote w:id="61">
    <w:p>
      <w:pPr>
        <w:pStyle w:val="FootnoteText"/>
      </w:pPr>
      <w:r>
        <w:rPr>
          <w:rStyle w:val="FootnoteReference"/>
        </w:rPr>
        <w:footnoteRef/>
      </w:r>
      <w:r>
        <w:t xml:space="preserve"> </w:t>
      </w:r>
      <w:r>
        <w:t xml:space="preserve">Notice that you can easily plot the comparisons using</w:t>
      </w:r>
      <w:r>
        <w:t xml:space="preserve"> </w:t>
      </w:r>
      <w:r>
        <w:rPr>
          <w:rStyle w:val="VerbatimChar"/>
        </w:rPr>
        <w:t xml:space="preserve">|&gt; plot()</w:t>
      </w:r>
      <w:r>
        <w:t xml:space="preserve">, commented out in the code. This will generate a standard</w:t>
      </w:r>
      <w:r>
        <w:t xml:space="preserve"> </w:t>
      </w:r>
      <w:r>
        <w:rPr>
          <w:rStyle w:val="VerbatimChar"/>
        </w:rPr>
        <w:t xml:space="preserve">ggplot2</w:t>
      </w:r>
      <w:r>
        <w:t xml:space="preserve"> </w:t>
      </w:r>
      <w:r>
        <w:t xml:space="preserve">figure.</w:t>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170CD2DE"/>
    <w:multiLevelType w:val="multilevel"/>
    <w:tmpl w:val="E7F2DD0A"/>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15:restartNumberingAfterBreak="0" w:abstractNumId="1">
    <w:nsid w:val="1D7410A6"/>
    <w:multiLevelType w:val="hybridMultilevel"/>
    <w:tmpl w:val="8BC465F8"/>
    <w:lvl w:ilvl="0" w:tplc="0409000F">
      <w:start w:val="1"/>
      <w:numFmt w:val="decimal"/>
      <w:lvlText w:val="%1."/>
      <w:lvlJc w:val="left"/>
      <w:pPr>
        <w:ind w:hanging="360" w:left="720"/>
      </w:pPr>
      <w:rPr>
        <w:rFonts w:hint="default"/>
      </w:r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2">
    <w:nsid w:val="2315175D"/>
    <w:multiLevelType w:val="hybridMultilevel"/>
    <w:tmpl w:val="E01AED18"/>
    <w:lvl w:ilvl="0" w:tplc="0409000F">
      <w:start w:val="1"/>
      <w:numFmt w:val="decimal"/>
      <w:lvlText w:val="%1."/>
      <w:lvlJc w:val="left"/>
      <w:pPr>
        <w:ind w:hanging="360" w:left="720"/>
      </w:p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2012488755" w:numId="1">
    <w:abstractNumId w:val="0"/>
  </w:num>
  <w:num w16cid:durableId="1633754165" w:numId="2">
    <w:abstractNumId w:val="1"/>
  </w:num>
  <w:num w16cid:durableId="1278223042" w:numId="3">
    <w:abstractNumId w:val="2"/>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21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646DC3"/>
    <w:rsid w:val="00007995"/>
    <w:rsid w:val="000179C1"/>
    <w:rsid w:val="00071B12"/>
    <w:rsid w:val="0007282B"/>
    <w:rsid w:val="001133E1"/>
    <w:rsid w:val="00115F74"/>
    <w:rsid w:val="001D1488"/>
    <w:rsid w:val="00230A2F"/>
    <w:rsid w:val="002325DC"/>
    <w:rsid w:val="002437B3"/>
    <w:rsid w:val="002A5F0A"/>
    <w:rsid w:val="002B2766"/>
    <w:rsid w:val="002D0ABC"/>
    <w:rsid w:val="002D272F"/>
    <w:rsid w:val="00305DA6"/>
    <w:rsid w:val="003B3D5A"/>
    <w:rsid w:val="00441FA5"/>
    <w:rsid w:val="004C6215"/>
    <w:rsid w:val="00521853"/>
    <w:rsid w:val="005631A3"/>
    <w:rsid w:val="00564DAE"/>
    <w:rsid w:val="00573A66"/>
    <w:rsid w:val="005A0639"/>
    <w:rsid w:val="00626352"/>
    <w:rsid w:val="00646DC3"/>
    <w:rsid w:val="00672910"/>
    <w:rsid w:val="00783E8B"/>
    <w:rsid w:val="00804C93"/>
    <w:rsid w:val="00821A84"/>
    <w:rsid w:val="0084283A"/>
    <w:rsid w:val="00852B5C"/>
    <w:rsid w:val="008B12EB"/>
    <w:rsid w:val="008C63DA"/>
    <w:rsid w:val="00992FB5"/>
    <w:rsid w:val="009C5BD4"/>
    <w:rsid w:val="009F6D08"/>
    <w:rsid w:val="00A03A0D"/>
    <w:rsid w:val="00A44769"/>
    <w:rsid w:val="00AC2C46"/>
    <w:rsid w:val="00AE5FFB"/>
    <w:rsid w:val="00B165AE"/>
    <w:rsid w:val="00B931ED"/>
    <w:rsid w:val="00C13D88"/>
    <w:rsid w:val="00CC0E5A"/>
    <w:rsid w:val="00D16B9D"/>
    <w:rsid w:val="00EB5BBA"/>
    <w:rsid w:val="00F00A19"/>
    <w:rsid w:val="00F016A6"/>
    <w:rsid w:val="00F2406F"/>
    <w:rsid w:val="00F97F52"/>
  </w:rsids>
  <w:themeFontLang w:val="en-US"/>
  <w:clrSchemeMapping w:accent1="accent1" w:accent2="accent2" w:accent3="accent3" w:accent4="accent4" w:accent5="accent5" w:accent6="accent6" w:bg1="light1" w:bg2="light2" w:followedHyperlink="followedHyperlink" w:hyperlink="hyperlink" w:t1="dark1" w:t2="dark2"/>
  <w:shapeDefaults>
    <o:shapedefaults spidmax="1026"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toc 1" w:uiPriority="39"/>
    <w:lsdException w:name="toc 2" w:uiPriority="39"/>
    <w:lsdException w:name="toc 3" w:uiPriority="39"/>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style>
  <w:style w:styleId="Heading1" w:type="paragraph">
    <w:name w:val="heading 1"/>
    <w:basedOn w:val="Normal"/>
    <w:next w:val="BodyText"/>
    <w:uiPriority w:val="9"/>
    <w:qFormat/>
    <w:rsid w:val="00564DAE"/>
    <w:pPr>
      <w:keepNext/>
      <w:keepLines/>
      <w:spacing w:after="0" w:line="480" w:lineRule="auto"/>
      <w:jc w:val="center"/>
      <w:outlineLvl w:val="0"/>
    </w:pPr>
    <w:rPr>
      <w:rFonts w:ascii="Times New Roman" w:cstheme="majorBidi" w:eastAsiaTheme="majorEastAsia" w:hAnsi="Times New Roman"/>
      <w:b/>
      <w:bCs/>
      <w:color w:themeColor="text1" w:val="000000"/>
      <w:szCs w:val="32"/>
    </w:rPr>
  </w:style>
  <w:style w:styleId="Heading2" w:type="paragraph">
    <w:name w:val="heading 2"/>
    <w:basedOn w:val="Normal"/>
    <w:next w:val="BodyText"/>
    <w:uiPriority w:val="9"/>
    <w:unhideWhenUsed/>
    <w:qFormat/>
    <w:rsid w:val="00626352"/>
    <w:pPr>
      <w:keepNext/>
      <w:keepLines/>
      <w:spacing w:after="0" w:line="480" w:lineRule="auto"/>
      <w:outlineLvl w:val="1"/>
    </w:pPr>
    <w:rPr>
      <w:rFonts w:ascii="Times New Roman" w:cstheme="majorBidi" w:eastAsiaTheme="majorEastAsia" w:hAnsi="Times New Roman"/>
      <w:b/>
      <w:bCs/>
      <w:color w:themeColor="text1" w:val="000000"/>
      <w:szCs w:val="28"/>
    </w:rPr>
  </w:style>
  <w:style w:styleId="Heading3" w:type="paragraph">
    <w:name w:val="heading 3"/>
    <w:basedOn w:val="Normal"/>
    <w:next w:val="BodyText"/>
    <w:uiPriority w:val="9"/>
    <w:unhideWhenUsed/>
    <w:qFormat/>
    <w:rsid w:val="00D16B9D"/>
    <w:pPr>
      <w:keepNext/>
      <w:keepLines/>
      <w:spacing w:after="0" w:line="480" w:lineRule="auto"/>
      <w:ind w:firstLine="720"/>
      <w:outlineLvl w:val="2"/>
    </w:pPr>
    <w:rPr>
      <w:rFonts w:ascii="Times New Roman" w:cstheme="majorBidi" w:eastAsiaTheme="majorEastAsia" w:hAnsi="Times New Roman"/>
      <w:b/>
      <w:bCs/>
      <w:color w:themeColor="text1" w:val="000000"/>
    </w:rPr>
  </w:style>
  <w:style w:styleId="Heading4" w:type="paragraph">
    <w:name w:val="heading 4"/>
    <w:basedOn w:val="Normal"/>
    <w:next w:val="BodyText"/>
    <w:uiPriority w:val="9"/>
    <w:unhideWhenUsed/>
    <w:qFormat/>
    <w:rsid w:val="00A44769"/>
    <w:pPr>
      <w:keepNext/>
      <w:keepLines/>
      <w:spacing w:after="0" w:line="480" w:lineRule="auto"/>
      <w:ind w:firstLine="720"/>
      <w:outlineLvl w:val="3"/>
    </w:pPr>
    <w:rPr>
      <w:rFonts w:ascii="Times New Roman" w:cstheme="majorBidi" w:eastAsiaTheme="majorEastAsia" w:hAnsi="Times New Roman"/>
      <w:b/>
      <w:bCs/>
      <w:i/>
      <w:color w:themeColor="text1" w:val="000000"/>
    </w:rPr>
  </w:style>
  <w:style w:styleId="Heading5" w:type="paragraph">
    <w:name w:val="heading 5"/>
    <w:basedOn w:val="Normal"/>
    <w:next w:val="BodyText"/>
    <w:uiPriority w:val="9"/>
    <w:unhideWhenUsed/>
    <w:qFormat/>
    <w:rsid w:val="00A44769"/>
    <w:pPr>
      <w:keepNext/>
      <w:keepLines/>
      <w:spacing w:after="0" w:line="480" w:lineRule="auto"/>
      <w:ind w:firstLine="720"/>
      <w:outlineLvl w:val="4"/>
    </w:pPr>
    <w:rPr>
      <w:rFonts w:ascii="Times New Roman" w:cstheme="majorBidi" w:eastAsiaTheme="majorEastAsia" w:hAnsi="Times New Roman"/>
      <w:i/>
      <w:iCs/>
      <w:color w:themeColor="text1" w:val="000000"/>
    </w:rPr>
  </w:style>
  <w:style w:styleId="Heading6" w:type="paragraph">
    <w:name w:val="heading 6"/>
    <w:basedOn w:val="Normal"/>
    <w:next w:val="BodyText"/>
    <w:uiPriority w:val="9"/>
    <w:unhideWhenUsed/>
    <w:qFormat/>
    <w:rsid w:val="009C5BD4"/>
    <w:pPr>
      <w:keepNext/>
      <w:keepLines/>
      <w:spacing w:after="0" w:before="200"/>
      <w:outlineLvl w:val="5"/>
    </w:pPr>
    <w:rPr>
      <w:rFonts w:ascii="Times New Roman" w:cstheme="majorBidi" w:eastAsiaTheme="majorEastAsia" w:hAnsi="Times New Roman"/>
      <w:color w:themeColor="text1" w:val="000000"/>
    </w:rPr>
  </w:style>
  <w:style w:styleId="Heading7" w:type="paragraph">
    <w:name w:val="heading 7"/>
    <w:basedOn w:val="Normal"/>
    <w:next w:val="BodyText"/>
    <w:uiPriority w:val="9"/>
    <w:unhideWhenUsed/>
    <w:qFormat/>
    <w:rsid w:val="009C5BD4"/>
    <w:pPr>
      <w:keepNext/>
      <w:keepLines/>
      <w:spacing w:after="0" w:before="200"/>
      <w:outlineLvl w:val="6"/>
    </w:pPr>
    <w:rPr>
      <w:rFonts w:ascii="Times New Roman" w:cstheme="majorBidi" w:eastAsiaTheme="majorEastAsia" w:hAnsi="Times New Roman"/>
      <w:color w:themeColor="text1" w:val="000000"/>
    </w:rPr>
  </w:style>
  <w:style w:styleId="Heading8" w:type="paragraph">
    <w:name w:val="heading 8"/>
    <w:basedOn w:val="Normal"/>
    <w:next w:val="BodyText"/>
    <w:uiPriority w:val="9"/>
    <w:unhideWhenUsed/>
    <w:qFormat/>
    <w:rsid w:val="009C5BD4"/>
    <w:pPr>
      <w:keepNext/>
      <w:keepLines/>
      <w:spacing w:after="0" w:before="200"/>
      <w:outlineLvl w:val="7"/>
    </w:pPr>
    <w:rPr>
      <w:rFonts w:ascii="Times New Roman" w:cstheme="majorBidi" w:eastAsiaTheme="majorEastAsia" w:hAnsi="Times New Roman"/>
      <w:color w:themeColor="text1" w:val="000000"/>
    </w:rPr>
  </w:style>
  <w:style w:styleId="Heading9" w:type="paragraph">
    <w:name w:val="heading 9"/>
    <w:basedOn w:val="Normal"/>
    <w:next w:val="BodyText"/>
    <w:uiPriority w:val="9"/>
    <w:unhideWhenUsed/>
    <w:qFormat/>
    <w:rsid w:val="009C5BD4"/>
    <w:pPr>
      <w:keepNext/>
      <w:keepLines/>
      <w:spacing w:after="0" w:before="200"/>
      <w:outlineLvl w:val="8"/>
    </w:pPr>
    <w:rPr>
      <w:rFonts w:ascii="Times New Roman" w:cstheme="majorBidi" w:eastAsiaTheme="majorEastAsia" w:hAnsi="Times New Roman"/>
      <w:color w:themeColor="text1" w:val="00000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rsid w:val="00071B12"/>
    <w:pPr>
      <w:spacing w:after="180" w:before="180" w:line="480" w:lineRule="auto"/>
      <w:ind w:firstLine="720"/>
    </w:pPr>
    <w:rPr>
      <w:rFonts w:ascii="Times New Roman" w:hAnsi="Times New Roman"/>
    </w:rPr>
  </w:style>
  <w:style w:customStyle="1" w:styleId="FirstParagraph" w:type="paragraph">
    <w:name w:val="First Paragraph"/>
    <w:basedOn w:val="BodyText"/>
    <w:next w:val="BodyText"/>
    <w:qFormat/>
    <w:rsid w:val="009C5BD4"/>
  </w:style>
  <w:style w:customStyle="1" w:styleId="Compact" w:type="paragraph">
    <w:name w:val="Compact"/>
    <w:basedOn w:val="BodyText"/>
    <w:qFormat/>
    <w:pPr>
      <w:spacing w:after="36" w:before="36"/>
    </w:pPr>
  </w:style>
  <w:style w:styleId="Title" w:type="paragraph">
    <w:name w:val="Title"/>
    <w:basedOn w:val="Normal"/>
    <w:next w:val="BodyText"/>
    <w:qFormat/>
    <w:rsid w:val="005631A3"/>
    <w:pPr>
      <w:keepNext/>
      <w:keepLines/>
      <w:spacing w:after="240" w:before="480"/>
      <w:jc w:val="center"/>
    </w:pPr>
    <w:rPr>
      <w:rFonts w:ascii="Times New Roman" w:cstheme="majorBidi" w:eastAsiaTheme="majorEastAsia" w:hAnsi="Times New Roman"/>
      <w:b/>
      <w:bCs/>
      <w:color w:themeColor="text1" w:val="000000"/>
      <w:sz w:val="36"/>
      <w:szCs w:val="36"/>
    </w:rPr>
  </w:style>
  <w:style w:styleId="Subtitle" w:type="paragraph">
    <w:name w:val="Subtitle"/>
    <w:basedOn w:val="Title"/>
    <w:next w:val="BodyText"/>
    <w:qFormat/>
    <w:pPr>
      <w:spacing w:before="240"/>
    </w:pPr>
    <w:rPr>
      <w:sz w:val="30"/>
      <w:szCs w:val="30"/>
    </w:rPr>
  </w:style>
  <w:style w:customStyle="1" w:styleId="Author" w:type="paragraph">
    <w:name w:val="Author"/>
    <w:next w:val="BodyText"/>
    <w:qFormat/>
    <w:rsid w:val="004C6215"/>
    <w:pPr>
      <w:keepNext/>
      <w:keepLines/>
      <w:jc w:val="center"/>
    </w:pPr>
    <w:rPr>
      <w:rFonts w:ascii="Times New Roman" w:hAnsi="Times New Roman"/>
      <w:color w:themeColor="text1" w:val="000000"/>
    </w:rPr>
  </w:style>
  <w:style w:styleId="Date" w:type="paragraph">
    <w:name w:val="Date"/>
    <w:next w:val="BodyText"/>
    <w:qFormat/>
    <w:rsid w:val="004C6215"/>
    <w:pPr>
      <w:keepNext/>
      <w:keepLines/>
      <w:jc w:val="center"/>
    </w:pPr>
    <w:rPr>
      <w:rFonts w:ascii="Times New Roman" w:hAnsi="Times New Roman"/>
    </w:rPr>
  </w:style>
  <w:style w:customStyle="1" w:styleId="AbstractTitle" w:type="paragraph">
    <w:name w:val="Abstract Title"/>
    <w:basedOn w:val="TOCHeading"/>
    <w:next w:val="Abstract"/>
    <w:qFormat/>
    <w:rsid w:val="002D0ABC"/>
    <w:pPr>
      <w:jc w:val="center"/>
    </w:pPr>
  </w:style>
  <w:style w:customStyle="1" w:styleId="Abstract" w:type="paragraph">
    <w:name w:val="Abstract"/>
    <w:basedOn w:val="Normal"/>
    <w:next w:val="BodyText"/>
    <w:qFormat/>
    <w:rsid w:val="00821A84"/>
    <w:pPr>
      <w:keepNext/>
      <w:keepLines/>
      <w:spacing w:after="300" w:before="100" w:line="480" w:lineRule="auto"/>
      <w:jc w:val="center"/>
    </w:pPr>
    <w:rPr>
      <w:rFonts w:ascii="Times New Roman" w:hAnsi="Times New Roman"/>
      <w:color w:themeColor="text1" w:val="000000"/>
      <w:szCs w:val="20"/>
    </w:rPr>
  </w:style>
  <w:style w:styleId="Bibliography" w:type="paragraph">
    <w:name w:val="Bibliography"/>
    <w:basedOn w:val="Normal"/>
    <w:qFormat/>
    <w:rsid w:val="000179C1"/>
    <w:rPr>
      <w:rFonts w:ascii="Times New Roman" w:hAnsi="Times New Roman"/>
    </w:rPr>
  </w:style>
  <w:style w:styleId="BlockText" w:type="paragraph">
    <w:name w:val="Block Text"/>
    <w:basedOn w:val="BodyText"/>
    <w:next w:val="BodyText"/>
    <w:uiPriority w:val="9"/>
    <w:unhideWhenUsed/>
    <w:qFormat/>
    <w:pPr>
      <w:spacing w:after="100" w:before="100"/>
      <w:ind w:left="480" w:right="480"/>
    </w:pPr>
  </w:style>
  <w:style w:styleId="FootnoteText" w:type="paragraph">
    <w:name w:val="footnote text"/>
    <w:basedOn w:val="Normal"/>
    <w:uiPriority w:val="9"/>
    <w:unhideWhenUsed/>
    <w:qFormat/>
    <w:rsid w:val="009C5BD4"/>
    <w:rPr>
      <w:rFonts w:ascii="Times New Roman" w:hAnsi="Times New Roman"/>
    </w:rPr>
  </w:style>
  <w:style w:customStyle="1" w:styleId="FootnoteBlockText" w:type="paragraph">
    <w:name w:val="Footnote Block Text"/>
    <w:basedOn w:val="BodyText"/>
    <w:uiPriority w:val="9"/>
    <w:unhideWhenUsed/>
    <w:qFormat/>
    <w:rsid w:val="00F00A19"/>
  </w:style>
  <w:style w:customStyle="1" w:styleId="Table" w:type="table">
    <w:name w:val="Table"/>
    <w:semiHidden/>
    <w:unhideWhenUsed/>
    <w:qFormat/>
    <w:tblPr>
      <w:tblInd w:type="dxa" w:w="0"/>
      <w:tblCellMar>
        <w:top w:type="dxa" w:w="0"/>
        <w:left w:type="dxa" w:w="108"/>
        <w:bottom w:type="dxa" w:w="0"/>
        <w:right w:type="dxa" w:w="108"/>
      </w:tblCellMar>
    </w:tblPr>
    <w:tblStylePr w:type="firstRow">
      <w:tblPr>
        <w:jc w:val="left"/>
      </w:tblPr>
      <w:trPr>
        <w:jc w:val="left"/>
      </w:trPr>
      <w:tcPr>
        <w:tcBorders>
          <w:bottom w:color="auto" w:space="0" w:sz="0" w:val="single"/>
        </w:tcBorders>
        <w:vAlign w:val="bottom"/>
      </w:tcPr>
    </w:tblStylePr>
  </w:style>
  <w:style w:customStyle="1" w:styleId="DefinitionTerm" w:type="paragraph">
    <w:name w:val="Definition Term"/>
    <w:basedOn w:val="Normal"/>
    <w:next w:val="Definition"/>
    <w:rsid w:val="009C5BD4"/>
    <w:pPr>
      <w:keepNext/>
      <w:keepLines/>
      <w:spacing w:after="0"/>
    </w:pPr>
    <w:rPr>
      <w:rFonts w:ascii="Times New Roman" w:hAnsi="Times New Roman"/>
      <w:b/>
    </w:rPr>
  </w:style>
  <w:style w:customStyle="1" w:styleId="Definition" w:type="paragraph">
    <w:name w:val="Definition"/>
    <w:basedOn w:val="Normal"/>
    <w:rsid w:val="00115F74"/>
    <w:rPr>
      <w:rFonts w:ascii="Times New Roman" w:hAnsi="Times New Roman"/>
    </w:rPr>
  </w:style>
  <w:style w:styleId="Caption" w:type="paragraph">
    <w:name w:val="caption"/>
    <w:basedOn w:val="Normal"/>
    <w:link w:val="CaptionChar"/>
    <w:rsid w:val="00F00A19"/>
    <w:pPr>
      <w:spacing w:after="120"/>
    </w:pPr>
    <w:rPr>
      <w:rFonts w:ascii="Times New Roman" w:hAnsi="Times New Roman"/>
      <w:i/>
    </w:rPr>
  </w:style>
  <w:style w:customStyle="1" w:styleId="TableCaption" w:type="paragraph">
    <w:name w:val="Table Caption"/>
    <w:basedOn w:val="Caption"/>
    <w:rsid w:val="009C5BD4"/>
    <w:pPr>
      <w:keepNext/>
    </w:pPr>
  </w:style>
  <w:style w:customStyle="1" w:styleId="ImageCaption" w:type="paragraph">
    <w:name w:val="Image Caption"/>
    <w:basedOn w:val="Caption"/>
    <w:rsid w:val="009C5BD4"/>
  </w:style>
  <w:style w:customStyle="1" w:styleId="Figure" w:type="paragraph">
    <w:name w:val="Figure"/>
    <w:basedOn w:val="Normal"/>
  </w:style>
  <w:style w:customStyle="1" w:styleId="CaptionedFigure" w:type="paragraph">
    <w:name w:val="Captioned Figure"/>
    <w:basedOn w:val="Figure"/>
    <w:pPr>
      <w:keepNext/>
    </w:pPr>
  </w:style>
  <w:style w:customStyle="1" w:styleId="CaptionChar" w:type="character">
    <w:name w:val="Caption Char"/>
    <w:basedOn w:val="DefaultParagraphFont"/>
    <w:link w:val="Caption"/>
    <w:rsid w:val="00F00A19"/>
    <w:rPr>
      <w:rFonts w:ascii="Times New Roman" w:hAnsi="Times New Roman"/>
      <w:i/>
    </w:rPr>
  </w:style>
  <w:style w:customStyle="1" w:styleId="VerbatimChar" w:type="character">
    <w:name w:val="Verbatim Char"/>
    <w:basedOn w:val="CaptionChar"/>
    <w:link w:val="SourceCode"/>
    <w:rsid w:val="001D1488"/>
    <w:rPr>
      <w:rFonts w:ascii="Consolas" w:hAnsi="Consolas"/>
      <w:i w:val="0"/>
      <w:sz w:val="22"/>
      <w:shd w:color="auto" w:fill="F1F3F5" w:val="clear"/>
    </w:rPr>
  </w:style>
  <w:style w:customStyle="1" w:styleId="SectionNumber" w:type="character">
    <w:name w:val="Section Number"/>
    <w:basedOn w:val="CaptionChar"/>
    <w:rPr>
      <w:rFonts w:ascii="Times New Roman" w:hAnsi="Times New Roman"/>
      <w:i/>
    </w:rPr>
  </w:style>
  <w:style w:styleId="FootnoteReference" w:type="character">
    <w:name w:val="footnote reference"/>
    <w:rsid w:val="002D272F"/>
  </w:style>
  <w:style w:styleId="Hyperlink" w:type="character">
    <w:name w:val="Hyperlink"/>
    <w:basedOn w:val="CaptionChar"/>
    <w:uiPriority w:val="99"/>
    <w:rsid w:val="009C5BD4"/>
    <w:rPr>
      <w:rFonts w:ascii="Times New Roman" w:hAnsi="Times New Roman"/>
      <w:i/>
      <w:color w:themeColor="text1" w:val="000000"/>
    </w:rPr>
  </w:style>
  <w:style w:styleId="TOCHeading" w:type="paragraph">
    <w:name w:val="TOC Heading"/>
    <w:basedOn w:val="Definition"/>
    <w:next w:val="BodyText"/>
    <w:uiPriority w:val="39"/>
    <w:unhideWhenUsed/>
    <w:qFormat/>
    <w:rsid w:val="002D0ABC"/>
  </w:style>
  <w:style w:styleId="FollowedHyperlink" w:type="character">
    <w:name w:val="FollowedHyperlink"/>
    <w:basedOn w:val="DefaultParagraphFont"/>
    <w:rsid w:val="009C5BD4"/>
    <w:rPr>
      <w:color w:themeColor="followedHyperlink" w:val="800080"/>
      <w:u w:val="single"/>
    </w:rPr>
  </w:style>
  <w:style w:styleId="TOC1" w:type="paragraph">
    <w:name w:val="toc 1"/>
    <w:basedOn w:val="Normal"/>
    <w:next w:val="Normal"/>
    <w:autoRedefine/>
    <w:uiPriority w:val="39"/>
    <w:rsid w:val="00441FA5"/>
    <w:pPr>
      <w:spacing w:after="100"/>
    </w:pPr>
    <w:rPr>
      <w:rFonts w:ascii="Times New Roman" w:hAnsi="Times New Roman"/>
    </w:rPr>
  </w:style>
  <w:style w:styleId="TOC2" w:type="paragraph">
    <w:name w:val="toc 2"/>
    <w:basedOn w:val="Normal"/>
    <w:next w:val="Normal"/>
    <w:autoRedefine/>
    <w:uiPriority w:val="39"/>
    <w:rsid w:val="00F00A19"/>
    <w:pPr>
      <w:spacing w:after="100"/>
      <w:ind w:left="240"/>
    </w:pPr>
    <w:rPr>
      <w:rFonts w:ascii="Times New Roman" w:hAnsi="Times New Roman"/>
    </w:rPr>
  </w:style>
  <w:style w:styleId="TOC3" w:type="paragraph">
    <w:name w:val="toc 3"/>
    <w:basedOn w:val="Normal"/>
    <w:next w:val="Normal"/>
    <w:autoRedefine/>
    <w:uiPriority w:val="39"/>
    <w:rsid w:val="00F00A19"/>
    <w:pPr>
      <w:spacing w:after="100"/>
      <w:ind w:left="480"/>
    </w:pPr>
    <w:rPr>
      <w:rFonts w:ascii="Times New Roman" w:hAnsi="Times New Roman"/>
    </w:rPr>
  </w:style>
  <w:style w:styleId="TOAHeading" w:type="paragraph">
    <w:name w:val="toa heading"/>
    <w:basedOn w:val="Heading3"/>
    <w:next w:val="Normal"/>
    <w:rsid w:val="002D272F"/>
  </w:style>
  <w:style w:styleId="TOC4" w:type="paragraph">
    <w:name w:val="toc 4"/>
    <w:basedOn w:val="Normal"/>
    <w:next w:val="Normal"/>
    <w:autoRedefine/>
    <w:rsid w:val="002D272F"/>
    <w:pPr>
      <w:spacing w:after="100"/>
      <w:ind w:left="720"/>
    </w:pPr>
    <w:rPr>
      <w:rFonts w:ascii="Times New Roman" w:hAnsi="Times New Roman"/>
    </w:rPr>
  </w:style>
  <w:style w:styleId="TOC6" w:type="paragraph">
    <w:name w:val="toc 6"/>
    <w:basedOn w:val="Normal"/>
    <w:next w:val="Normal"/>
    <w:autoRedefine/>
    <w:rsid w:val="002D272F"/>
    <w:pPr>
      <w:spacing w:after="100"/>
      <w:ind w:left="1200"/>
    </w:pPr>
    <w:rPr>
      <w:rFonts w:ascii="Times New Roman" w:hAnsi="Times New Roman"/>
    </w:rPr>
  </w:style>
  <w:style w:styleId="TOC7" w:type="paragraph">
    <w:name w:val="toc 7"/>
    <w:basedOn w:val="Normal"/>
    <w:next w:val="Normal"/>
    <w:autoRedefine/>
    <w:rsid w:val="002D272F"/>
    <w:pPr>
      <w:spacing w:after="100"/>
      <w:ind w:left="1440"/>
    </w:pPr>
    <w:rPr>
      <w:rFonts w:ascii="Times New Roman" w:hAnsi="Times New Roman"/>
    </w:rPr>
  </w:style>
  <w:style w:styleId="TOC8" w:type="paragraph">
    <w:name w:val="toc 8"/>
    <w:basedOn w:val="Normal"/>
    <w:next w:val="Normal"/>
    <w:autoRedefine/>
    <w:rsid w:val="002D272F"/>
    <w:pPr>
      <w:spacing w:after="100"/>
      <w:ind w:left="1680"/>
    </w:pPr>
    <w:rPr>
      <w:rFonts w:ascii="Times New Roman" w:hAnsi="Times New Roman"/>
    </w:rPr>
  </w:style>
  <w:style w:styleId="TOC9" w:type="paragraph">
    <w:name w:val="toc 9"/>
    <w:basedOn w:val="Normal"/>
    <w:next w:val="Normal"/>
    <w:autoRedefine/>
    <w:rsid w:val="002D272F"/>
    <w:pPr>
      <w:spacing w:after="100"/>
      <w:ind w:left="1920"/>
    </w:pPr>
    <w:rPr>
      <w:rFonts w:ascii="Times New Roman" w:hAnsi="Times New Roman"/>
    </w:rPr>
  </w:style>
  <w:style w:styleId="EndnoteReference" w:type="character">
    <w:name w:val="endnote reference"/>
    <w:basedOn w:val="DefaultParagraphFont"/>
    <w:rsid w:val="00F00A19"/>
    <w:rPr>
      <w:rFonts w:ascii="Times New Roman" w:hAnsi="Times New Roman"/>
      <w:vertAlign w:val="superscript"/>
    </w:rPr>
  </w:style>
  <w:style w:customStyle="1" w:styleId="SourceCode" w:type="paragraph">
    <w:name w:val="Source Code"/>
    <w:basedOn w:val="Normal"/>
    <w:link w:val="VerbatimChar"/>
    <w:rsid w:val="001D1488"/>
    <w:pPr>
      <w:shd w:color="auto" w:fill="F1F3F5" w:val="clear"/>
      <w:wordWrap w:val="0"/>
    </w:pPr>
    <w:rPr>
      <w:rFonts w:ascii="Consolas" w:hAnsi="Consolas"/>
      <w:sz w:val="22"/>
    </w:rPr>
  </w:style>
  <w:style w:styleId="List" w:type="paragraph">
    <w:name w:val="List"/>
    <w:basedOn w:val="Normal"/>
    <w:rsid w:val="00AC2C46"/>
    <w:pPr>
      <w:ind w:hanging="283" w:left="283"/>
      <w:contextualSpacing/>
    </w:pPr>
    <w:rPr>
      <w:rFonts w:ascii="Times New Roman" w:hAnsi="Times New Roman"/>
    </w:rPr>
  </w:style>
  <w:style w:styleId="List2" w:type="paragraph">
    <w:name w:val="List 2"/>
    <w:basedOn w:val="Normal"/>
    <w:rsid w:val="00573A66"/>
    <w:pPr>
      <w:ind w:hanging="283" w:left="566"/>
      <w:contextualSpacing/>
    </w:pPr>
    <w:rPr>
      <w:rFonts w:ascii="Times New Roman" w:hAnsi="Times New Roman"/>
    </w:rPr>
  </w:style>
  <w:style w:styleId="List3" w:type="paragraph">
    <w:name w:val="List 3"/>
    <w:basedOn w:val="Normal"/>
    <w:rsid w:val="00573A66"/>
    <w:pPr>
      <w:ind w:hanging="283" w:left="849"/>
      <w:contextualSpacing/>
    </w:pPr>
    <w:rPr>
      <w:rFonts w:ascii="Times New Roman" w:hAnsi="Times New Roman"/>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9" Target="media/rId29.png" /><Relationship Type="http://schemas.openxmlformats.org/officeDocument/2006/relationships/image" Id="rId48" Target="media/rId48.png" /><Relationship Type="http://schemas.openxmlformats.org/officeDocument/2006/relationships/image" Id="rId13" Target="media/rId13.png" /><Relationship Type="http://schemas.openxmlformats.org/officeDocument/2006/relationships/image" Id="rId70" Target="media/rId70.png" /><Relationship Type="http://schemas.openxmlformats.org/officeDocument/2006/relationships/image" Id="rId63" Target="media/rId63.png" /><Relationship Type="http://schemas.openxmlformats.org/officeDocument/2006/relationships/image" Id="rId76" Target="media/rId76.png" /><Relationship Type="http://schemas.openxmlformats.org/officeDocument/2006/relationships/image" Id="rId21" Target="media/rId21.png" /><Relationship Type="http://schemas.openxmlformats.org/officeDocument/2006/relationships/hyperlink" Id="rId83" Target="http://CRAN.R-project.org/package=languageR" TargetMode="External" /><Relationship Type="http://schemas.openxmlformats.org/officeDocument/2006/relationships/hyperlink" Id="rId135" Target="http://www.R-project.org/" TargetMode="External" /><Relationship Type="http://schemas.openxmlformats.org/officeDocument/2006/relationships/hyperlink" Id="rId94" Target="https://cran.r-project.org/web/packages/brms/index.html" TargetMode="External" /><Relationship Type="http://schemas.openxmlformats.org/officeDocument/2006/relationships/hyperlink" Id="rId118" Target="https://doi.org/10.1016/j.jml.2007.11.007" TargetMode="External" /><Relationship Type="http://schemas.openxmlformats.org/officeDocument/2006/relationships/hyperlink" Id="rId108" Target="https://doi.org/10.1017/9781108957823.030" TargetMode="External" /><Relationship Type="http://schemas.openxmlformats.org/officeDocument/2006/relationships/hyperlink" Id="rId133" Target="https://doi.org/10.1017/S0272263116000231" TargetMode="External" /><Relationship Type="http://schemas.openxmlformats.org/officeDocument/2006/relationships/hyperlink" Id="rId98" Target="https://doi.org/10.1075/lab.18048.cab" TargetMode="External" /><Relationship Type="http://schemas.openxmlformats.org/officeDocument/2006/relationships/hyperlink" Id="rId113" Target="https://doi.org/10.1111/rssa.12276" TargetMode="External" /><Relationship Type="http://schemas.openxmlformats.org/officeDocument/2006/relationships/hyperlink" Id="rId103" Target="https://doi.org/10.1177/0267658312443651" TargetMode="External" /><Relationship Type="http://schemas.openxmlformats.org/officeDocument/2006/relationships/hyperlink" Id="rId105" Target="https://doi.org/10.1177/0267658319882457" TargetMode="External" /><Relationship Type="http://schemas.openxmlformats.org/officeDocument/2006/relationships/hyperlink" Id="rId87" Target="https://doi.org/10.18637/jss.v067.i01" TargetMode="External" /><Relationship Type="http://schemas.openxmlformats.org/officeDocument/2006/relationships/hyperlink" Id="rId101" Target="https://doi.org/10.18637/jss.v076.i01" TargetMode="External" /><Relationship Type="http://schemas.openxmlformats.org/officeDocument/2006/relationships/hyperlink" Id="rId96" Target="https://doi.org/10.18637/jss.v080.i01" TargetMode="External" /><Relationship Type="http://schemas.openxmlformats.org/officeDocument/2006/relationships/hyperlink" Id="rId127" Target="https://doi.org/10.21105/joss.01541" TargetMode="External" /><Relationship Type="http://schemas.openxmlformats.org/officeDocument/2006/relationships/hyperlink" Id="rId142" Target="https://doi.org/10.21105/joss.01686" TargetMode="External" /><Relationship Type="http://schemas.openxmlformats.org/officeDocument/2006/relationships/hyperlink" Id="rId139" Target="https://doi.org/10.31234/osf.io/7wfus" TargetMode="External" /><Relationship Type="http://schemas.openxmlformats.org/officeDocument/2006/relationships/hyperlink" Id="rId90" Target="https://doi.org/10.3389/fpsyg.2018.00081" TargetMode="External" /><Relationship Type="http://schemas.openxmlformats.org/officeDocument/2006/relationships/hyperlink" Id="rId120" Target="https://doi.org/10.5281/zenodo.1308151" TargetMode="External" /><Relationship Type="http://schemas.openxmlformats.org/officeDocument/2006/relationships/hyperlink" Id="rId9" Target="https://osf.io/37u56/" TargetMode="External" /><Relationship Type="http://schemas.openxmlformats.org/officeDocument/2006/relationships/hyperlink" Id="rId111" Target="https://statmodeling.stat.columbia.edu/2021/01/31/bayesian-inference-completely-solves-the-multiple-comparisons-problem-2/" TargetMode="External" /></Relationships>
</file>

<file path=word/_rels/footnotes.xml.rels><?xml version="1.0" encoding="UTF-8"?><Relationships xmlns="http://schemas.openxmlformats.org/package/2006/relationships"><Relationship Type="http://schemas.openxmlformats.org/officeDocument/2006/relationships/hyperlink" Id="rId83" Target="http://CRAN.R-project.org/package=languageR" TargetMode="External" /><Relationship Type="http://schemas.openxmlformats.org/officeDocument/2006/relationships/hyperlink" Id="rId135" Target="http://www.R-project.org/" TargetMode="External" /><Relationship Type="http://schemas.openxmlformats.org/officeDocument/2006/relationships/hyperlink" Id="rId94" Target="https://cran.r-project.org/web/packages/brms/index.html" TargetMode="External" /><Relationship Type="http://schemas.openxmlformats.org/officeDocument/2006/relationships/hyperlink" Id="rId118" Target="https://doi.org/10.1016/j.jml.2007.11.007" TargetMode="External" /><Relationship Type="http://schemas.openxmlformats.org/officeDocument/2006/relationships/hyperlink" Id="rId108" Target="https://doi.org/10.1017/9781108957823.030" TargetMode="External" /><Relationship Type="http://schemas.openxmlformats.org/officeDocument/2006/relationships/hyperlink" Id="rId133" Target="https://doi.org/10.1017/S0272263116000231" TargetMode="External" /><Relationship Type="http://schemas.openxmlformats.org/officeDocument/2006/relationships/hyperlink" Id="rId98" Target="https://doi.org/10.1075/lab.18048.cab" TargetMode="External" /><Relationship Type="http://schemas.openxmlformats.org/officeDocument/2006/relationships/hyperlink" Id="rId113" Target="https://doi.org/10.1111/rssa.12276" TargetMode="External" /><Relationship Type="http://schemas.openxmlformats.org/officeDocument/2006/relationships/hyperlink" Id="rId103" Target="https://doi.org/10.1177/0267658312443651" TargetMode="External" /><Relationship Type="http://schemas.openxmlformats.org/officeDocument/2006/relationships/hyperlink" Id="rId105" Target="https://doi.org/10.1177/0267658319882457" TargetMode="External" /><Relationship Type="http://schemas.openxmlformats.org/officeDocument/2006/relationships/hyperlink" Id="rId87" Target="https://doi.org/10.18637/jss.v067.i01" TargetMode="External" /><Relationship Type="http://schemas.openxmlformats.org/officeDocument/2006/relationships/hyperlink" Id="rId101" Target="https://doi.org/10.18637/jss.v076.i01" TargetMode="External" /><Relationship Type="http://schemas.openxmlformats.org/officeDocument/2006/relationships/hyperlink" Id="rId96" Target="https://doi.org/10.18637/jss.v080.i01" TargetMode="External" /><Relationship Type="http://schemas.openxmlformats.org/officeDocument/2006/relationships/hyperlink" Id="rId127" Target="https://doi.org/10.21105/joss.01541" TargetMode="External" /><Relationship Type="http://schemas.openxmlformats.org/officeDocument/2006/relationships/hyperlink" Id="rId142" Target="https://doi.org/10.21105/joss.01686" TargetMode="External" /><Relationship Type="http://schemas.openxmlformats.org/officeDocument/2006/relationships/hyperlink" Id="rId139" Target="https://doi.org/10.31234/osf.io/7wfus" TargetMode="External" /><Relationship Type="http://schemas.openxmlformats.org/officeDocument/2006/relationships/hyperlink" Id="rId90" Target="https://doi.org/10.3389/fpsyg.2018.00081" TargetMode="External" /><Relationship Type="http://schemas.openxmlformats.org/officeDocument/2006/relationships/hyperlink" Id="rId120" Target="https://doi.org/10.5281/zenodo.1308151" TargetMode="External" /><Relationship Type="http://schemas.openxmlformats.org/officeDocument/2006/relationships/hyperlink" Id="rId9" Target="https://osf.io/37u56/" TargetMode="External" /><Relationship Type="http://schemas.openxmlformats.org/officeDocument/2006/relationships/hyperlink" Id="rId111" Target="https://statmodeling.stat.columbia.edu/2021/01/31/bayesian-inference-completely-solves-the-multiple-comparisons-problem-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143</Words>
  <Characters>816</Characters>
  <Application>Microsoft Office Word</Application>
  <DocSecurity>0</DocSecurity>
  <Lines>6</Lines>
  <Paragraphs>1</Paragraphs>
  <ScaleCrop>false</ScaleCrop>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Bayesian estimation in multiple comparisons</dc:title>
  <dc:creator>Guilherme D. Garcia</dc:creator>
  <dc:language>en</dc:language>
  <cp:keywords>Bayesian data analysis, multiple comparisons, heteroscedasticity, shrinkage, second language research</cp:keywords>
  <dcterms:created xsi:type="dcterms:W3CDTF">2026-11-02T19:07:36Z</dcterms:created>
  <dcterms:modified xsi:type="dcterms:W3CDTF">2026-11-02T19:07:36Z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Traditional regression models typically estimate parameters for a factor F by designating one level as a reference (intercept) and calculating slopes for other levels of F. While this approach often aligns with our research question(s), it limits direct comparisons between all pairs of levels within F and requires additional procedures for generating these comparisons. Moreover, Frequentist methods often rely on corrections (e.g., Bonferroni or Tukey), which can reduce statistical power and inflate uncertainty by mechanically widening confidence intervals. This paper demonstrates how Bayesian hierarchical models provide a robust framework for parameter estimation in the context of multiple comparisons. By leveraging entire posterior distributions, these models produce estimates for all pairwise comparisons without requiring post hoc adjustments. The hierarchical structure, combined with the use of priors, naturally incorporates shrinkage, pulling extreme estimates toward the overall mean. This regularization improves the stability and reliability of estimates, particularly in the presence of sparse or noisy data, and leads to more conservative comparisons. Bayesian models also offer a flexible framework for addressing heteroscedasticity by directly modeling variance structures and incorporating them into the posterior distribution. The result is a coherent approach to exploring differences between levels of F, where parameter estimates reflect the full uncertainty of the data.</vt:lpwstr>
  </property>
  <property fmtid="{D5CDD505-2E9C-101B-9397-08002B2CF9AE}" pid="3" name="affiliations">
    <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itation">
    <vt:lpwstr/>
  </property>
  <property fmtid="{D5CDD505-2E9C-101B-9397-08002B2CF9AE}" pid="10" name="csl">
    <vt:lpwstr>apa.csl</vt:lpwstr>
  </property>
  <property fmtid="{D5CDD505-2E9C-101B-9397-08002B2CF9AE}" pid="11" name="date">
    <vt:lpwstr>November 2, 2026</vt:lpwstr>
  </property>
  <property fmtid="{D5CDD505-2E9C-101B-9397-08002B2CF9AE}" pid="12" name="date-format">
    <vt:lpwstr>long</vt:lpwstr>
  </property>
  <property fmtid="{D5CDD505-2E9C-101B-9397-08002B2CF9AE}" pid="13" name="date-modified">
    <vt:lpwstr>November 2, 2026</vt:lpwstr>
  </property>
  <property fmtid="{D5CDD505-2E9C-101B-9397-08002B2CF9AE}" pid="14" name="doi">
    <vt:lpwstr>10.31219/osf.io/wzqxg</vt:lpwstr>
  </property>
  <property fmtid="{D5CDD505-2E9C-101B-9397-08002B2CF9AE}" pid="15" name="draft-mode">
    <vt:lpwstr>unlinked</vt:lpwstr>
  </property>
  <property fmtid="{D5CDD505-2E9C-101B-9397-08002B2CF9AE}" pid="16" name="drafts">
    <vt:lpwstr/>
  </property>
  <property fmtid="{D5CDD505-2E9C-101B-9397-08002B2CF9AE}" pid="17" name="header-includes">
    <vt:lpwstr/>
  </property>
  <property fmtid="{D5CDD505-2E9C-101B-9397-08002B2CF9AE}" pid="18" name="include-after">
    <vt:lpwstr/>
  </property>
  <property fmtid="{D5CDD505-2E9C-101B-9397-08002B2CF9AE}" pid="19" name="include-before">
    <vt:lpwstr/>
  </property>
  <property fmtid="{D5CDD505-2E9C-101B-9397-08002B2CF9AE}" pid="20" name="labels">
    <vt:lpwstr/>
  </property>
  <property fmtid="{D5CDD505-2E9C-101B-9397-08002B2CF9AE}" pid="21" name="resources">
    <vt:lpwstr/>
  </property>
  <property fmtid="{D5CDD505-2E9C-101B-9397-08002B2CF9AE}" pid="22" name="thanks">
    <vt:lpwstr>The idea for this paper originated from a workshop I gave at the PhonLab group at Harvard during a research visit in March 2024. Thanks to Katie Franich for her comments and questions during the workshop. The visit was made possible by the Programme de mobilité professorale at Université Laval (grant number: DR140407). Thanks also to Ronaldo Lima Jr. for his comments and suggestions. Special thanks to João Veríssimo and to Rainer Düsing, whose detailed comments greatly improved this manuscript. This paper is part of a larger project funded by the Social Sciences and Humanities Council (SSHRC), Canada (grant number: CH141280).</vt:lpwstr>
  </property>
  <property fmtid="{D5CDD505-2E9C-101B-9397-08002B2CF9AE}" pid="23" name="toc-title">
    <vt:lpwstr>Table of contents</vt:lpwstr>
  </property>
</Properties>
</file>